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F9A29" w14:textId="77777777" w:rsidR="00A973E7" w:rsidRPr="00733369" w:rsidRDefault="00A973E7" w:rsidP="00A973E7">
      <w:pPr>
        <w:pStyle w:val="1"/>
        <w:widowControl/>
        <w:snapToGrid w:val="0"/>
        <w:spacing w:before="0" w:after="0" w:line="360" w:lineRule="auto"/>
        <w:jc w:val="center"/>
        <w:rPr>
          <w:rFonts w:ascii="宋体" w:hAnsi="宋体" w:hint="eastAsia"/>
          <w:color w:val="auto"/>
        </w:rPr>
      </w:pPr>
      <w:r w:rsidRPr="00733369">
        <w:rPr>
          <w:rFonts w:ascii="宋体" w:hAnsi="宋体" w:hint="eastAsia"/>
          <w:color w:val="auto"/>
        </w:rPr>
        <w:t>采购需求及技术规格要求</w:t>
      </w:r>
    </w:p>
    <w:p w14:paraId="3A69E725" w14:textId="77777777" w:rsidR="00A973E7" w:rsidRPr="00733369" w:rsidRDefault="00A973E7" w:rsidP="00A973E7">
      <w:pPr>
        <w:adjustRightInd w:val="0"/>
        <w:snapToGrid w:val="0"/>
        <w:spacing w:beforeLines="50" w:before="156" w:line="360" w:lineRule="auto"/>
        <w:rPr>
          <w:b/>
          <w:sz w:val="24"/>
        </w:rPr>
      </w:pPr>
      <w:r w:rsidRPr="00733369">
        <w:rPr>
          <w:b/>
          <w:sz w:val="24"/>
        </w:rPr>
        <w:t>1</w:t>
      </w:r>
      <w:r w:rsidRPr="00733369">
        <w:rPr>
          <w:rFonts w:hint="eastAsia"/>
          <w:b/>
          <w:sz w:val="24"/>
        </w:rPr>
        <w:t>、</w:t>
      </w:r>
      <w:r w:rsidRPr="00733369">
        <w:rPr>
          <w:b/>
          <w:sz w:val="24"/>
        </w:rPr>
        <w:t>货物需求一览表</w:t>
      </w:r>
    </w:p>
    <w:tbl>
      <w:tblPr>
        <w:tblW w:w="7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
        <w:gridCol w:w="3378"/>
        <w:gridCol w:w="3029"/>
      </w:tblGrid>
      <w:tr w:rsidR="00A973E7" w:rsidRPr="00733369" w14:paraId="35C1CCF4" w14:textId="77777777" w:rsidTr="00EA0CCB">
        <w:trPr>
          <w:jc w:val="center"/>
        </w:trPr>
        <w:tc>
          <w:tcPr>
            <w:tcW w:w="804" w:type="dxa"/>
            <w:vAlign w:val="center"/>
          </w:tcPr>
          <w:p w14:paraId="0BD53E87"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序号</w:t>
            </w:r>
          </w:p>
        </w:tc>
        <w:tc>
          <w:tcPr>
            <w:tcW w:w="3378" w:type="dxa"/>
            <w:vAlign w:val="center"/>
          </w:tcPr>
          <w:p w14:paraId="0ECC6A7B"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部件名称</w:t>
            </w:r>
          </w:p>
        </w:tc>
        <w:tc>
          <w:tcPr>
            <w:tcW w:w="3029" w:type="dxa"/>
            <w:vAlign w:val="center"/>
          </w:tcPr>
          <w:p w14:paraId="531DB551"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数量</w:t>
            </w:r>
          </w:p>
        </w:tc>
      </w:tr>
      <w:tr w:rsidR="00A973E7" w:rsidRPr="00733369" w14:paraId="54B2E489" w14:textId="77777777" w:rsidTr="00EA0CCB">
        <w:trPr>
          <w:trHeight w:val="331"/>
          <w:jc w:val="center"/>
        </w:trPr>
        <w:tc>
          <w:tcPr>
            <w:tcW w:w="804" w:type="dxa"/>
            <w:vAlign w:val="center"/>
          </w:tcPr>
          <w:p w14:paraId="66E06F06"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1</w:t>
            </w:r>
          </w:p>
        </w:tc>
        <w:tc>
          <w:tcPr>
            <w:tcW w:w="3378" w:type="dxa"/>
            <w:vAlign w:val="center"/>
          </w:tcPr>
          <w:p w14:paraId="4B1036D6" w14:textId="77777777" w:rsidR="00A973E7" w:rsidRPr="00733369" w:rsidRDefault="00A973E7" w:rsidP="00EA0CCB">
            <w:pPr>
              <w:adjustRightInd w:val="0"/>
              <w:snapToGrid w:val="0"/>
              <w:jc w:val="center"/>
              <w:rPr>
                <w:rFonts w:ascii="宋体" w:hAnsi="宋体"/>
                <w:szCs w:val="21"/>
              </w:rPr>
            </w:pPr>
            <w:r w:rsidRPr="00733369">
              <w:rPr>
                <w:rFonts w:hint="eastAsia"/>
              </w:rPr>
              <w:t>TF1-6&amp;15-16_CFT</w:t>
            </w:r>
          </w:p>
        </w:tc>
        <w:tc>
          <w:tcPr>
            <w:tcW w:w="3029" w:type="dxa"/>
            <w:vAlign w:val="center"/>
          </w:tcPr>
          <w:p w14:paraId="48147AAC"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1</w:t>
            </w:r>
          </w:p>
        </w:tc>
      </w:tr>
      <w:tr w:rsidR="00A973E7" w:rsidRPr="00733369" w14:paraId="3E339D6F" w14:textId="77777777" w:rsidTr="00EA0CCB">
        <w:trPr>
          <w:trHeight w:val="331"/>
          <w:jc w:val="center"/>
        </w:trPr>
        <w:tc>
          <w:tcPr>
            <w:tcW w:w="804" w:type="dxa"/>
            <w:vAlign w:val="center"/>
          </w:tcPr>
          <w:p w14:paraId="6DF6439E" w14:textId="77777777" w:rsidR="00A973E7" w:rsidRPr="00733369" w:rsidRDefault="00A973E7" w:rsidP="00EA0CCB">
            <w:pPr>
              <w:adjustRightInd w:val="0"/>
              <w:snapToGrid w:val="0"/>
              <w:jc w:val="center"/>
              <w:rPr>
                <w:rFonts w:ascii="宋体" w:hAnsi="宋体" w:hint="eastAsia"/>
                <w:szCs w:val="21"/>
              </w:rPr>
            </w:pPr>
            <w:r w:rsidRPr="00733369">
              <w:rPr>
                <w:rFonts w:ascii="宋体" w:hAnsi="宋体" w:hint="eastAsia"/>
                <w:szCs w:val="21"/>
              </w:rPr>
              <w:t>2</w:t>
            </w:r>
          </w:p>
        </w:tc>
        <w:tc>
          <w:tcPr>
            <w:tcW w:w="3378" w:type="dxa"/>
            <w:vAlign w:val="center"/>
          </w:tcPr>
          <w:p w14:paraId="1B8CFB2A" w14:textId="77777777" w:rsidR="00A973E7" w:rsidRPr="00733369" w:rsidRDefault="00A973E7" w:rsidP="00EA0CCB">
            <w:pPr>
              <w:adjustRightInd w:val="0"/>
              <w:snapToGrid w:val="0"/>
              <w:jc w:val="center"/>
              <w:rPr>
                <w:rFonts w:ascii="宋体" w:hAnsi="宋体"/>
                <w:szCs w:val="21"/>
              </w:rPr>
            </w:pPr>
            <w:r w:rsidRPr="00733369">
              <w:rPr>
                <w:rFonts w:hint="eastAsia"/>
              </w:rPr>
              <w:t>TF7-14_CFT</w:t>
            </w:r>
          </w:p>
        </w:tc>
        <w:tc>
          <w:tcPr>
            <w:tcW w:w="3029" w:type="dxa"/>
            <w:vAlign w:val="center"/>
          </w:tcPr>
          <w:p w14:paraId="0A8C29FE"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1</w:t>
            </w:r>
          </w:p>
        </w:tc>
      </w:tr>
      <w:tr w:rsidR="00A973E7" w:rsidRPr="00733369" w14:paraId="40874ACE" w14:textId="77777777" w:rsidTr="00EA0CCB">
        <w:trPr>
          <w:trHeight w:val="331"/>
          <w:jc w:val="center"/>
        </w:trPr>
        <w:tc>
          <w:tcPr>
            <w:tcW w:w="804" w:type="dxa"/>
            <w:vAlign w:val="center"/>
          </w:tcPr>
          <w:p w14:paraId="5D2B92F3" w14:textId="77777777" w:rsidR="00A973E7" w:rsidRPr="00733369" w:rsidRDefault="00A973E7" w:rsidP="00EA0CCB">
            <w:pPr>
              <w:adjustRightInd w:val="0"/>
              <w:snapToGrid w:val="0"/>
              <w:jc w:val="center"/>
              <w:rPr>
                <w:rFonts w:ascii="宋体" w:hAnsi="宋体" w:hint="eastAsia"/>
                <w:szCs w:val="21"/>
              </w:rPr>
            </w:pPr>
            <w:r w:rsidRPr="00733369">
              <w:rPr>
                <w:rFonts w:ascii="宋体" w:hAnsi="宋体" w:hint="eastAsia"/>
                <w:szCs w:val="21"/>
              </w:rPr>
              <w:t>3</w:t>
            </w:r>
          </w:p>
        </w:tc>
        <w:tc>
          <w:tcPr>
            <w:tcW w:w="3378" w:type="dxa"/>
          </w:tcPr>
          <w:p w14:paraId="6BB15622" w14:textId="77777777" w:rsidR="00A973E7" w:rsidRPr="00733369" w:rsidRDefault="00A973E7" w:rsidP="00EA0CCB">
            <w:pPr>
              <w:adjustRightInd w:val="0"/>
              <w:snapToGrid w:val="0"/>
              <w:jc w:val="center"/>
              <w:rPr>
                <w:rFonts w:ascii="宋体" w:hAnsi="宋体"/>
                <w:szCs w:val="21"/>
              </w:rPr>
            </w:pPr>
            <w:r w:rsidRPr="00733369">
              <w:rPr>
                <w:rFonts w:hint="eastAsia"/>
              </w:rPr>
              <w:t>PF4-7_CFT</w:t>
            </w:r>
          </w:p>
        </w:tc>
        <w:tc>
          <w:tcPr>
            <w:tcW w:w="3029" w:type="dxa"/>
            <w:vAlign w:val="center"/>
          </w:tcPr>
          <w:p w14:paraId="0D4238BC"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1</w:t>
            </w:r>
          </w:p>
        </w:tc>
      </w:tr>
      <w:tr w:rsidR="00A973E7" w:rsidRPr="00733369" w14:paraId="357F3112" w14:textId="77777777" w:rsidTr="00EA0CCB">
        <w:trPr>
          <w:trHeight w:val="331"/>
          <w:jc w:val="center"/>
        </w:trPr>
        <w:tc>
          <w:tcPr>
            <w:tcW w:w="804" w:type="dxa"/>
            <w:vAlign w:val="center"/>
          </w:tcPr>
          <w:p w14:paraId="214D97C1" w14:textId="77777777" w:rsidR="00A973E7" w:rsidRPr="00733369" w:rsidRDefault="00A973E7" w:rsidP="00EA0CCB">
            <w:pPr>
              <w:adjustRightInd w:val="0"/>
              <w:snapToGrid w:val="0"/>
              <w:jc w:val="center"/>
              <w:rPr>
                <w:rFonts w:ascii="宋体" w:hAnsi="宋体" w:hint="eastAsia"/>
                <w:szCs w:val="21"/>
              </w:rPr>
            </w:pPr>
            <w:r w:rsidRPr="00733369">
              <w:rPr>
                <w:rFonts w:ascii="宋体" w:hAnsi="宋体" w:hint="eastAsia"/>
                <w:szCs w:val="21"/>
              </w:rPr>
              <w:t>4</w:t>
            </w:r>
          </w:p>
        </w:tc>
        <w:tc>
          <w:tcPr>
            <w:tcW w:w="3378" w:type="dxa"/>
          </w:tcPr>
          <w:p w14:paraId="38C39590" w14:textId="77777777" w:rsidR="00A973E7" w:rsidRPr="00733369" w:rsidRDefault="00A973E7" w:rsidP="00EA0CCB">
            <w:pPr>
              <w:adjustRightInd w:val="0"/>
              <w:snapToGrid w:val="0"/>
              <w:jc w:val="center"/>
              <w:rPr>
                <w:rFonts w:ascii="宋体" w:hAnsi="宋体"/>
                <w:szCs w:val="21"/>
              </w:rPr>
            </w:pPr>
            <w:r w:rsidRPr="00733369">
              <w:rPr>
                <w:rFonts w:hint="eastAsia"/>
              </w:rPr>
              <w:t>CC_CFT</w:t>
            </w:r>
          </w:p>
        </w:tc>
        <w:tc>
          <w:tcPr>
            <w:tcW w:w="3029" w:type="dxa"/>
            <w:vAlign w:val="center"/>
          </w:tcPr>
          <w:p w14:paraId="424D95F8"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1</w:t>
            </w:r>
          </w:p>
        </w:tc>
      </w:tr>
      <w:tr w:rsidR="00A973E7" w:rsidRPr="00733369" w14:paraId="2428C878" w14:textId="77777777" w:rsidTr="00EA0CCB">
        <w:trPr>
          <w:trHeight w:val="331"/>
          <w:jc w:val="center"/>
        </w:trPr>
        <w:tc>
          <w:tcPr>
            <w:tcW w:w="804" w:type="dxa"/>
            <w:vAlign w:val="center"/>
          </w:tcPr>
          <w:p w14:paraId="6B8A618B" w14:textId="77777777" w:rsidR="00A973E7" w:rsidRPr="00733369" w:rsidRDefault="00A973E7" w:rsidP="00EA0CCB">
            <w:pPr>
              <w:adjustRightInd w:val="0"/>
              <w:snapToGrid w:val="0"/>
              <w:jc w:val="center"/>
              <w:rPr>
                <w:rFonts w:ascii="宋体" w:hAnsi="宋体" w:hint="eastAsia"/>
                <w:szCs w:val="21"/>
              </w:rPr>
            </w:pPr>
            <w:r w:rsidRPr="00733369">
              <w:rPr>
                <w:rFonts w:ascii="宋体" w:hAnsi="宋体" w:hint="eastAsia"/>
                <w:szCs w:val="21"/>
              </w:rPr>
              <w:t>5</w:t>
            </w:r>
          </w:p>
        </w:tc>
        <w:tc>
          <w:tcPr>
            <w:tcW w:w="3378" w:type="dxa"/>
          </w:tcPr>
          <w:p w14:paraId="36CD01D1" w14:textId="77777777" w:rsidR="00A973E7" w:rsidRPr="00733369" w:rsidRDefault="00A973E7" w:rsidP="00EA0CCB">
            <w:pPr>
              <w:adjustRightInd w:val="0"/>
              <w:snapToGrid w:val="0"/>
              <w:jc w:val="center"/>
              <w:rPr>
                <w:rFonts w:ascii="宋体" w:hAnsi="宋体"/>
                <w:szCs w:val="21"/>
              </w:rPr>
            </w:pPr>
            <w:r w:rsidRPr="00733369">
              <w:rPr>
                <w:rFonts w:hint="eastAsia"/>
              </w:rPr>
              <w:t>CS6-10_CFT</w:t>
            </w:r>
          </w:p>
        </w:tc>
        <w:tc>
          <w:tcPr>
            <w:tcW w:w="3029" w:type="dxa"/>
            <w:vAlign w:val="center"/>
          </w:tcPr>
          <w:p w14:paraId="71CB6D30"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1</w:t>
            </w:r>
          </w:p>
        </w:tc>
      </w:tr>
      <w:tr w:rsidR="00A973E7" w:rsidRPr="00733369" w14:paraId="5C09F54B" w14:textId="77777777" w:rsidTr="00EA0CCB">
        <w:trPr>
          <w:trHeight w:val="331"/>
          <w:jc w:val="center"/>
        </w:trPr>
        <w:tc>
          <w:tcPr>
            <w:tcW w:w="804" w:type="dxa"/>
            <w:vAlign w:val="center"/>
          </w:tcPr>
          <w:p w14:paraId="4B9F6B26" w14:textId="77777777" w:rsidR="00A973E7" w:rsidRPr="00733369" w:rsidRDefault="00A973E7" w:rsidP="00EA0CCB">
            <w:pPr>
              <w:adjustRightInd w:val="0"/>
              <w:snapToGrid w:val="0"/>
              <w:jc w:val="center"/>
              <w:rPr>
                <w:rFonts w:ascii="宋体" w:hAnsi="宋体" w:hint="eastAsia"/>
                <w:szCs w:val="21"/>
              </w:rPr>
            </w:pPr>
            <w:r w:rsidRPr="00733369">
              <w:rPr>
                <w:rFonts w:ascii="宋体" w:hAnsi="宋体" w:hint="eastAsia"/>
                <w:szCs w:val="21"/>
              </w:rPr>
              <w:t>6</w:t>
            </w:r>
          </w:p>
        </w:tc>
        <w:tc>
          <w:tcPr>
            <w:tcW w:w="3378" w:type="dxa"/>
          </w:tcPr>
          <w:p w14:paraId="3DDE7C8D" w14:textId="77777777" w:rsidR="00A973E7" w:rsidRPr="00733369" w:rsidRDefault="00A973E7" w:rsidP="00EA0CCB">
            <w:pPr>
              <w:adjustRightInd w:val="0"/>
              <w:snapToGrid w:val="0"/>
              <w:jc w:val="center"/>
              <w:rPr>
                <w:rFonts w:ascii="宋体" w:hAnsi="宋体"/>
                <w:szCs w:val="21"/>
              </w:rPr>
            </w:pPr>
            <w:r w:rsidRPr="00733369">
              <w:rPr>
                <w:rFonts w:hint="eastAsia"/>
              </w:rPr>
              <w:t>PF1-3&amp;CS5_CFT</w:t>
            </w:r>
          </w:p>
        </w:tc>
        <w:tc>
          <w:tcPr>
            <w:tcW w:w="3029" w:type="dxa"/>
            <w:vAlign w:val="center"/>
          </w:tcPr>
          <w:p w14:paraId="1B5D0EB5"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1</w:t>
            </w:r>
          </w:p>
        </w:tc>
      </w:tr>
      <w:tr w:rsidR="00A973E7" w:rsidRPr="00733369" w14:paraId="3949E75A" w14:textId="77777777" w:rsidTr="00EA0CCB">
        <w:trPr>
          <w:trHeight w:val="331"/>
          <w:jc w:val="center"/>
        </w:trPr>
        <w:tc>
          <w:tcPr>
            <w:tcW w:w="804" w:type="dxa"/>
            <w:vAlign w:val="center"/>
          </w:tcPr>
          <w:p w14:paraId="0514194A" w14:textId="77777777" w:rsidR="00A973E7" w:rsidRPr="00733369" w:rsidRDefault="00A973E7" w:rsidP="00EA0CCB">
            <w:pPr>
              <w:adjustRightInd w:val="0"/>
              <w:snapToGrid w:val="0"/>
              <w:jc w:val="center"/>
              <w:rPr>
                <w:rFonts w:ascii="宋体" w:hAnsi="宋体" w:hint="eastAsia"/>
                <w:szCs w:val="21"/>
              </w:rPr>
            </w:pPr>
            <w:r w:rsidRPr="00733369">
              <w:rPr>
                <w:rFonts w:ascii="宋体" w:hAnsi="宋体" w:hint="eastAsia"/>
                <w:szCs w:val="21"/>
              </w:rPr>
              <w:t>7</w:t>
            </w:r>
          </w:p>
        </w:tc>
        <w:tc>
          <w:tcPr>
            <w:tcW w:w="3378" w:type="dxa"/>
          </w:tcPr>
          <w:p w14:paraId="6F1AD398" w14:textId="77777777" w:rsidR="00A973E7" w:rsidRPr="00733369" w:rsidRDefault="00A973E7" w:rsidP="00EA0CCB">
            <w:pPr>
              <w:adjustRightInd w:val="0"/>
              <w:snapToGrid w:val="0"/>
              <w:jc w:val="center"/>
              <w:rPr>
                <w:rFonts w:ascii="宋体" w:hAnsi="宋体"/>
                <w:szCs w:val="21"/>
              </w:rPr>
            </w:pPr>
            <w:r w:rsidRPr="00733369">
              <w:rPr>
                <w:rFonts w:hint="eastAsia"/>
              </w:rPr>
              <w:t>CS1-4_CFT</w:t>
            </w:r>
          </w:p>
        </w:tc>
        <w:tc>
          <w:tcPr>
            <w:tcW w:w="3029" w:type="dxa"/>
            <w:vAlign w:val="center"/>
          </w:tcPr>
          <w:p w14:paraId="73345265" w14:textId="77777777" w:rsidR="00A973E7" w:rsidRPr="00733369" w:rsidRDefault="00A973E7" w:rsidP="00EA0CCB">
            <w:pPr>
              <w:adjustRightInd w:val="0"/>
              <w:snapToGrid w:val="0"/>
              <w:jc w:val="center"/>
              <w:rPr>
                <w:rFonts w:ascii="宋体" w:hAnsi="宋体"/>
                <w:szCs w:val="21"/>
              </w:rPr>
            </w:pPr>
            <w:r w:rsidRPr="00733369">
              <w:rPr>
                <w:rFonts w:ascii="宋体" w:hAnsi="宋体" w:hint="eastAsia"/>
                <w:szCs w:val="21"/>
              </w:rPr>
              <w:t>1</w:t>
            </w:r>
          </w:p>
        </w:tc>
      </w:tr>
    </w:tbl>
    <w:p w14:paraId="633D2882" w14:textId="77777777" w:rsidR="00A973E7" w:rsidRPr="00733369" w:rsidRDefault="00A973E7" w:rsidP="00A973E7">
      <w:pPr>
        <w:adjustRightInd w:val="0"/>
        <w:snapToGrid w:val="0"/>
        <w:spacing w:beforeLines="50" w:before="156" w:line="360" w:lineRule="auto"/>
        <w:rPr>
          <w:rFonts w:hint="eastAsia"/>
          <w:b/>
          <w:sz w:val="24"/>
        </w:rPr>
      </w:pPr>
      <w:bookmarkStart w:id="0" w:name="_Toc532807472"/>
      <w:bookmarkStart w:id="1" w:name="_Toc30409514"/>
      <w:bookmarkStart w:id="2" w:name="_Toc509153917"/>
      <w:bookmarkStart w:id="3" w:name="_Toc257021215"/>
      <w:bookmarkStart w:id="4" w:name="_Toc12010788"/>
      <w:bookmarkStart w:id="5" w:name="_Toc12010815"/>
      <w:r w:rsidRPr="00733369">
        <w:rPr>
          <w:b/>
          <w:sz w:val="24"/>
        </w:rPr>
        <w:t>2</w:t>
      </w:r>
      <w:r w:rsidRPr="00733369">
        <w:rPr>
          <w:rFonts w:hint="eastAsia"/>
          <w:b/>
          <w:sz w:val="24"/>
        </w:rPr>
        <w:t>、</w:t>
      </w:r>
      <w:r w:rsidRPr="00733369">
        <w:rPr>
          <w:b/>
          <w:sz w:val="24"/>
        </w:rPr>
        <w:t>工程技术要求</w:t>
      </w:r>
      <w:bookmarkEnd w:id="0"/>
      <w:bookmarkEnd w:id="1"/>
      <w:bookmarkEnd w:id="2"/>
      <w:bookmarkEnd w:id="3"/>
      <w:bookmarkEnd w:id="4"/>
      <w:bookmarkEnd w:id="5"/>
    </w:p>
    <w:p w14:paraId="3C47E1A3" w14:textId="77777777" w:rsidR="00A973E7" w:rsidRPr="00733369" w:rsidRDefault="00A973E7" w:rsidP="00A973E7">
      <w:pPr>
        <w:adjustRightInd w:val="0"/>
        <w:snapToGrid w:val="0"/>
        <w:spacing w:beforeLines="50" w:before="156" w:line="360" w:lineRule="auto"/>
        <w:rPr>
          <w:b/>
          <w:sz w:val="24"/>
        </w:rPr>
      </w:pPr>
      <w:r w:rsidRPr="00733369">
        <w:rPr>
          <w:b/>
          <w:sz w:val="24"/>
        </w:rPr>
        <w:t>2.</w:t>
      </w:r>
      <w:r w:rsidRPr="00733369">
        <w:rPr>
          <w:rFonts w:hint="eastAsia"/>
          <w:b/>
          <w:sz w:val="24"/>
        </w:rPr>
        <w:t>1</w:t>
      </w:r>
      <w:r w:rsidRPr="00733369">
        <w:rPr>
          <w:rFonts w:hint="eastAsia"/>
          <w:b/>
          <w:sz w:val="24"/>
        </w:rPr>
        <w:t>、</w:t>
      </w:r>
      <w:r w:rsidRPr="00733369">
        <w:rPr>
          <w:b/>
          <w:sz w:val="24"/>
        </w:rPr>
        <w:t>设备的主要用途及功能</w:t>
      </w:r>
    </w:p>
    <w:p w14:paraId="2CA7FEF6" w14:textId="77777777" w:rsidR="00A973E7" w:rsidRPr="00733369" w:rsidRDefault="00A973E7" w:rsidP="00A973E7">
      <w:pPr>
        <w:spacing w:line="360" w:lineRule="auto"/>
        <w:ind w:firstLineChars="200" w:firstLine="420"/>
        <w:rPr>
          <w:rFonts w:hint="eastAsia"/>
        </w:rPr>
      </w:pPr>
      <w:r w:rsidRPr="00733369">
        <w:rPr>
          <w:rFonts w:hint="eastAsia"/>
          <w:szCs w:val="32"/>
        </w:rPr>
        <w:t>BEST FEEDER</w:t>
      </w:r>
      <w:r w:rsidRPr="00733369">
        <w:rPr>
          <w:rFonts w:hint="eastAsia"/>
          <w:szCs w:val="32"/>
        </w:rPr>
        <w:t>馈线系统主要为</w:t>
      </w:r>
      <w:r w:rsidRPr="00733369">
        <w:rPr>
          <w:rFonts w:hint="eastAsia"/>
          <w:szCs w:val="32"/>
        </w:rPr>
        <w:t>BEST</w:t>
      </w:r>
      <w:r w:rsidRPr="00733369">
        <w:rPr>
          <w:rFonts w:hint="eastAsia"/>
          <w:szCs w:val="32"/>
        </w:rPr>
        <w:t>超导磁体提供电源、诊断，是保证整个</w:t>
      </w:r>
      <w:r w:rsidRPr="00733369">
        <w:rPr>
          <w:rFonts w:hint="eastAsia"/>
          <w:szCs w:val="32"/>
        </w:rPr>
        <w:t>BEST</w:t>
      </w:r>
      <w:r w:rsidRPr="00733369">
        <w:rPr>
          <w:rFonts w:hint="eastAsia"/>
          <w:szCs w:val="32"/>
        </w:rPr>
        <w:t>磁体系统能正常运行的生命线，过渡馈线（</w:t>
      </w:r>
      <w:r w:rsidRPr="00733369">
        <w:rPr>
          <w:rFonts w:hint="eastAsia"/>
          <w:szCs w:val="32"/>
        </w:rPr>
        <w:t>CFT</w:t>
      </w:r>
      <w:r w:rsidRPr="00733369">
        <w:rPr>
          <w:rFonts w:hint="eastAsia"/>
          <w:szCs w:val="32"/>
        </w:rPr>
        <w:t>）是馈线系统中间段组成部分，主要作用是连接内馈线和电流引线罐，为磁体供电，提供冷却介质、同时隔断电流引线罐与杜瓦内部真空，降低事故风险，并且便于真空检漏、修复和更换电流引线罐内部故障元件，</w:t>
      </w:r>
      <w:r w:rsidRPr="00733369">
        <w:rPr>
          <w:szCs w:val="32"/>
        </w:rPr>
        <w:t>其总装共</w:t>
      </w:r>
      <w:r w:rsidRPr="00733369">
        <w:rPr>
          <w:szCs w:val="32"/>
        </w:rPr>
        <w:t>7</w:t>
      </w:r>
      <w:proofErr w:type="gramStart"/>
      <w:r w:rsidRPr="00733369">
        <w:rPr>
          <w:szCs w:val="32"/>
        </w:rPr>
        <w:t>套</w:t>
      </w:r>
      <w:r w:rsidRPr="00733369">
        <w:rPr>
          <w:szCs w:val="32"/>
        </w:rPr>
        <w:t>,</w:t>
      </w:r>
      <w:proofErr w:type="gramEnd"/>
      <w:r w:rsidRPr="00733369">
        <w:rPr>
          <w:szCs w:val="32"/>
        </w:rPr>
        <w:t>有</w:t>
      </w:r>
      <w:r w:rsidRPr="00733369">
        <w:rPr>
          <w:szCs w:val="32"/>
        </w:rPr>
        <w:t>5</w:t>
      </w:r>
      <w:r w:rsidRPr="00733369">
        <w:rPr>
          <w:szCs w:val="32"/>
        </w:rPr>
        <w:t>种类型（其中</w:t>
      </w:r>
      <w:r w:rsidRPr="00733369">
        <w:rPr>
          <w:szCs w:val="32"/>
        </w:rPr>
        <w:t>TF1-6&amp;15-16/TF7-14/PF4-7 CFT_ASSY</w:t>
      </w:r>
      <w:r w:rsidRPr="00733369">
        <w:rPr>
          <w:szCs w:val="32"/>
        </w:rPr>
        <w:t>相同）</w:t>
      </w:r>
      <w:r w:rsidRPr="00733369">
        <w:rPr>
          <w:rFonts w:hint="eastAsia"/>
          <w:szCs w:val="32"/>
        </w:rPr>
        <w:t>，</w:t>
      </w:r>
      <w:r w:rsidRPr="00733369">
        <w:rPr>
          <w:szCs w:val="32"/>
        </w:rPr>
        <w:t>分别布置位于</w:t>
      </w:r>
      <w:r w:rsidRPr="00733369">
        <w:rPr>
          <w:szCs w:val="32"/>
        </w:rPr>
        <w:t>BEST</w:t>
      </w:r>
      <w:r w:rsidRPr="00733369">
        <w:rPr>
          <w:szCs w:val="32"/>
        </w:rPr>
        <w:t>安装建筑物的</w:t>
      </w:r>
      <w:r w:rsidRPr="00733369">
        <w:rPr>
          <w:szCs w:val="32"/>
        </w:rPr>
        <w:t>B2</w:t>
      </w:r>
      <w:r w:rsidRPr="00733369">
        <w:rPr>
          <w:szCs w:val="32"/>
        </w:rPr>
        <w:t>和</w:t>
      </w:r>
      <w:r w:rsidRPr="00733369">
        <w:rPr>
          <w:szCs w:val="32"/>
        </w:rPr>
        <w:t>L2</w:t>
      </w:r>
      <w:r w:rsidRPr="00733369">
        <w:rPr>
          <w:szCs w:val="32"/>
        </w:rPr>
        <w:t>层。</w:t>
      </w:r>
    </w:p>
    <w:p w14:paraId="43ECE78D" w14:textId="77777777" w:rsidR="00A973E7" w:rsidRPr="00733369" w:rsidRDefault="00A973E7" w:rsidP="00A973E7">
      <w:pPr>
        <w:adjustRightInd w:val="0"/>
        <w:snapToGrid w:val="0"/>
        <w:spacing w:beforeLines="50" w:before="156" w:line="360" w:lineRule="auto"/>
        <w:rPr>
          <w:b/>
          <w:sz w:val="24"/>
        </w:rPr>
      </w:pPr>
      <w:r w:rsidRPr="00733369">
        <w:rPr>
          <w:b/>
          <w:sz w:val="24"/>
        </w:rPr>
        <w:t>2.3</w:t>
      </w:r>
      <w:r w:rsidRPr="00733369">
        <w:rPr>
          <w:rFonts w:hint="eastAsia"/>
          <w:b/>
          <w:sz w:val="24"/>
        </w:rPr>
        <w:t>、</w:t>
      </w:r>
      <w:r w:rsidRPr="00733369">
        <w:rPr>
          <w:rFonts w:hint="eastAsia"/>
          <w:b/>
          <w:sz w:val="24"/>
        </w:rPr>
        <w:t xml:space="preserve"> </w:t>
      </w:r>
      <w:r w:rsidRPr="00733369">
        <w:rPr>
          <w:b/>
          <w:sz w:val="24"/>
        </w:rPr>
        <w:t>工作条件</w:t>
      </w:r>
    </w:p>
    <w:p w14:paraId="727BF14C" w14:textId="77777777" w:rsidR="00A973E7" w:rsidRPr="00733369" w:rsidRDefault="00A973E7" w:rsidP="00A973E7">
      <w:pPr>
        <w:spacing w:line="360" w:lineRule="auto"/>
        <w:ind w:firstLineChars="200" w:firstLine="420"/>
        <w:rPr>
          <w:rFonts w:hint="eastAsia"/>
        </w:rPr>
      </w:pPr>
      <w:r w:rsidRPr="00733369">
        <w:t>CFT</w:t>
      </w:r>
      <w:r w:rsidRPr="00733369">
        <w:t>真空室外腔体外部面对</w:t>
      </w:r>
      <w:r w:rsidRPr="00733369">
        <w:t>300K</w:t>
      </w:r>
      <w:r w:rsidRPr="00733369">
        <w:t>大气环境，内部面对</w:t>
      </w:r>
      <w:r w:rsidRPr="00733369">
        <w:t>80K</w:t>
      </w:r>
      <w:r w:rsidRPr="00733369">
        <w:t>的真空室冷屏，中间使用多层绝热与冷屏隔开。冷屏工作温度</w:t>
      </w:r>
      <w:r w:rsidRPr="00733369">
        <w:t>80K</w:t>
      </w:r>
      <w:r w:rsidRPr="00733369">
        <w:t>，内部面对</w:t>
      </w:r>
      <w:r w:rsidRPr="00733369">
        <w:t>5K</w:t>
      </w:r>
      <w:r w:rsidRPr="00733369">
        <w:t>温区的</w:t>
      </w:r>
      <w:r w:rsidRPr="00733369">
        <w:t>CFT</w:t>
      </w:r>
      <w:r w:rsidRPr="00733369">
        <w:t>内部部件</w:t>
      </w:r>
      <w:r w:rsidRPr="00733369">
        <w:rPr>
          <w:rFonts w:hint="eastAsia"/>
        </w:rPr>
        <w:t>；</w:t>
      </w:r>
      <w:r w:rsidRPr="00733369">
        <w:rPr>
          <w:rFonts w:hint="eastAsia"/>
          <w:szCs w:val="32"/>
        </w:rPr>
        <w:t>内部高压超导部件的绝缘部件及其绝缘处理等级应满足图纸设计要求；对应的接地保护应满足甲方提供的接地方案要求</w:t>
      </w:r>
      <w:r w:rsidRPr="00733369">
        <w:t>。</w:t>
      </w:r>
    </w:p>
    <w:p w14:paraId="17E4F217" w14:textId="77777777" w:rsidR="00A973E7" w:rsidRPr="00733369" w:rsidRDefault="00A973E7" w:rsidP="00A973E7">
      <w:pPr>
        <w:adjustRightInd w:val="0"/>
        <w:snapToGrid w:val="0"/>
        <w:spacing w:beforeLines="50" w:before="156" w:line="360" w:lineRule="auto"/>
        <w:rPr>
          <w:b/>
          <w:sz w:val="24"/>
        </w:rPr>
      </w:pPr>
      <w:r w:rsidRPr="00733369">
        <w:rPr>
          <w:b/>
          <w:sz w:val="24"/>
        </w:rPr>
        <w:t>2.4</w:t>
      </w:r>
      <w:r w:rsidRPr="00733369">
        <w:rPr>
          <w:rFonts w:hint="eastAsia"/>
          <w:b/>
          <w:sz w:val="24"/>
        </w:rPr>
        <w:t>、</w:t>
      </w:r>
      <w:r w:rsidRPr="00733369">
        <w:rPr>
          <w:b/>
          <w:sz w:val="24"/>
        </w:rPr>
        <w:t xml:space="preserve"> </w:t>
      </w:r>
      <w:r w:rsidRPr="00733369">
        <w:rPr>
          <w:b/>
          <w:sz w:val="24"/>
        </w:rPr>
        <w:t>技术性能指标要求</w:t>
      </w:r>
    </w:p>
    <w:p w14:paraId="45280B09" w14:textId="77777777" w:rsidR="00A973E7" w:rsidRPr="00733369" w:rsidRDefault="00A973E7" w:rsidP="00A973E7">
      <w:pPr>
        <w:pStyle w:val="Style21"/>
        <w:spacing w:line="360" w:lineRule="auto"/>
        <w:ind w:rightChars="19" w:right="40" w:firstLine="480"/>
        <w:rPr>
          <w:szCs w:val="32"/>
        </w:rPr>
      </w:pPr>
      <w:r w:rsidRPr="00733369">
        <w:rPr>
          <w:rFonts w:hint="eastAsia"/>
          <w:szCs w:val="32"/>
        </w:rPr>
        <w:t xml:space="preserve">BEST FEEDER </w:t>
      </w:r>
      <w:r w:rsidRPr="00733369">
        <w:rPr>
          <w:rFonts w:hint="eastAsia"/>
          <w:szCs w:val="32"/>
        </w:rPr>
        <w:t>过渡馈线（</w:t>
      </w:r>
      <w:r w:rsidRPr="00733369">
        <w:rPr>
          <w:rFonts w:hint="eastAsia"/>
          <w:szCs w:val="32"/>
        </w:rPr>
        <w:t>CFT</w:t>
      </w:r>
      <w:r w:rsidRPr="00733369">
        <w:rPr>
          <w:rFonts w:hint="eastAsia"/>
          <w:szCs w:val="32"/>
        </w:rPr>
        <w:t>）内部部件制造及总装要求严格遵照规定的质量程序与技术规范执行，各零部件加工达到图纸尺寸公差与技术要求；所有焊接与无损检测依据文件图纸相关标准执行，达到图纸质量等级；组件达到图纸的形位公差要求。过渡馈线（</w:t>
      </w:r>
      <w:r w:rsidRPr="00733369">
        <w:rPr>
          <w:rFonts w:hint="eastAsia"/>
          <w:szCs w:val="32"/>
        </w:rPr>
        <w:t>CFT</w:t>
      </w:r>
      <w:r w:rsidRPr="00733369">
        <w:rPr>
          <w:rFonts w:hint="eastAsia"/>
          <w:szCs w:val="32"/>
        </w:rPr>
        <w:t>）总装集成包含关键部件：真空外壳体，</w:t>
      </w:r>
      <w:r w:rsidRPr="00733369">
        <w:rPr>
          <w:szCs w:val="32"/>
        </w:rPr>
        <w:t>80K</w:t>
      </w:r>
      <w:r w:rsidRPr="00733369">
        <w:rPr>
          <w:rFonts w:hint="eastAsia"/>
          <w:szCs w:val="32"/>
        </w:rPr>
        <w:t>冷屏，内部超导母线（包括超导接头）制造，内部各类支撑，温度传感器等。</w:t>
      </w:r>
    </w:p>
    <w:p w14:paraId="2C3C3854" w14:textId="77777777" w:rsidR="00A973E7" w:rsidRPr="00733369" w:rsidRDefault="00A973E7" w:rsidP="00A973E7">
      <w:pPr>
        <w:pStyle w:val="Style21"/>
        <w:numPr>
          <w:ilvl w:val="0"/>
          <w:numId w:val="1"/>
        </w:numPr>
        <w:spacing w:line="360" w:lineRule="auto"/>
        <w:ind w:rightChars="19" w:right="40"/>
        <w:rPr>
          <w:rFonts w:ascii="宋体" w:hAnsi="宋体" w:cs="宋体" w:hint="eastAsia"/>
          <w:szCs w:val="21"/>
        </w:rPr>
      </w:pPr>
      <w:r w:rsidRPr="00733369">
        <w:rPr>
          <w:rFonts w:ascii="宋体" w:hAnsi="宋体" w:cs="宋体" w:hint="eastAsia"/>
          <w:szCs w:val="21"/>
        </w:rPr>
        <w:lastRenderedPageBreak/>
        <w:t>CFT内部超导缆及其端部接头要求：</w:t>
      </w:r>
    </w:p>
    <w:p w14:paraId="1D49C31D" w14:textId="77777777" w:rsidR="00A973E7" w:rsidRPr="00733369" w:rsidRDefault="00A973E7" w:rsidP="00A973E7">
      <w:pPr>
        <w:pStyle w:val="Style21"/>
        <w:numPr>
          <w:ilvl w:val="0"/>
          <w:numId w:val="2"/>
        </w:numPr>
        <w:spacing w:line="360" w:lineRule="auto"/>
        <w:ind w:rightChars="19" w:right="40"/>
        <w:rPr>
          <w:rFonts w:ascii="宋体" w:hAnsi="宋体" w:cs="宋体" w:hint="eastAsia"/>
          <w:szCs w:val="21"/>
        </w:rPr>
      </w:pPr>
      <w:r w:rsidRPr="00733369">
        <w:rPr>
          <w:rFonts w:ascii="宋体" w:hAnsi="宋体" w:cs="宋体" w:hint="eastAsia"/>
          <w:szCs w:val="21"/>
        </w:rPr>
        <w:t>零部件制造达到尺寸、精度与表面要求，部件组装达到形位公差要求，所有接头盒在预装后位置度公差</w:t>
      </w:r>
      <w:r w:rsidRPr="00733369">
        <w:rPr>
          <w:szCs w:val="21"/>
        </w:rPr>
        <w:t>＜</w:t>
      </w:r>
      <w:r w:rsidRPr="00733369">
        <w:rPr>
          <w:szCs w:val="21"/>
        </w:rPr>
        <w:t>5mm</w:t>
      </w:r>
      <w:r w:rsidRPr="00733369">
        <w:rPr>
          <w:rFonts w:ascii="宋体" w:hAnsi="宋体" w:cs="宋体" w:hint="eastAsia"/>
          <w:szCs w:val="21"/>
        </w:rPr>
        <w:t>；</w:t>
      </w:r>
    </w:p>
    <w:p w14:paraId="31CEE5C9" w14:textId="77777777" w:rsidR="00A973E7" w:rsidRPr="00733369" w:rsidRDefault="00A973E7" w:rsidP="00A973E7">
      <w:pPr>
        <w:pStyle w:val="Style21"/>
        <w:numPr>
          <w:ilvl w:val="0"/>
          <w:numId w:val="2"/>
        </w:numPr>
        <w:spacing w:line="360" w:lineRule="auto"/>
        <w:ind w:rightChars="19" w:right="40"/>
        <w:rPr>
          <w:rFonts w:ascii="宋体" w:hAnsi="宋体" w:cs="宋体" w:hint="eastAsia"/>
          <w:szCs w:val="21"/>
        </w:rPr>
      </w:pPr>
      <w:r w:rsidRPr="00733369">
        <w:rPr>
          <w:rFonts w:ascii="宋体" w:hAnsi="宋体" w:cs="宋体" w:hint="eastAsia"/>
          <w:szCs w:val="21"/>
        </w:rPr>
        <w:t>超导接头工艺选择反电解去镍镀银，接头内部铟焊工艺，过程中使用的助焊剂需满足无卤族元素要求，具体工艺由项目组提供，中标方需要提供足够的专职人员进行此类特殊工艺；超导接头压力下焊接，氩弧焊焊缝与钎焊焊缝满足</w:t>
      </w:r>
      <w:r w:rsidRPr="00733369">
        <w:rPr>
          <w:szCs w:val="21"/>
        </w:rPr>
        <w:t>30bar</w:t>
      </w:r>
      <w:r w:rsidRPr="00733369">
        <w:rPr>
          <w:rFonts w:ascii="宋体" w:hAnsi="宋体" w:cs="宋体" w:hint="eastAsia"/>
          <w:szCs w:val="21"/>
        </w:rPr>
        <w:t>压力下漏率低于</w:t>
      </w:r>
      <w:r w:rsidRPr="00733369">
        <w:rPr>
          <w:szCs w:val="21"/>
        </w:rPr>
        <w:t>1x10</w:t>
      </w:r>
      <w:r w:rsidRPr="00733369">
        <w:rPr>
          <w:szCs w:val="21"/>
          <w:vertAlign w:val="superscript"/>
        </w:rPr>
        <w:t>-9</w:t>
      </w:r>
      <w:r w:rsidRPr="00733369">
        <w:rPr>
          <w:szCs w:val="21"/>
        </w:rPr>
        <w:t>Pa.m</w:t>
      </w:r>
      <w:r w:rsidRPr="00733369">
        <w:rPr>
          <w:szCs w:val="21"/>
          <w:vertAlign w:val="superscript"/>
        </w:rPr>
        <w:t>3</w:t>
      </w:r>
      <w:r w:rsidRPr="00733369">
        <w:rPr>
          <w:szCs w:val="21"/>
        </w:rPr>
        <w:t>/s</w:t>
      </w:r>
      <w:r w:rsidRPr="00733369">
        <w:rPr>
          <w:rFonts w:ascii="宋体" w:hAnsi="宋体" w:cs="宋体" w:hint="eastAsia"/>
          <w:szCs w:val="21"/>
        </w:rPr>
        <w:t>；</w:t>
      </w:r>
    </w:p>
    <w:p w14:paraId="695216F9" w14:textId="77777777" w:rsidR="00A973E7" w:rsidRPr="00733369" w:rsidRDefault="00A973E7" w:rsidP="00A973E7">
      <w:pPr>
        <w:pStyle w:val="Style21"/>
        <w:numPr>
          <w:ilvl w:val="0"/>
          <w:numId w:val="2"/>
        </w:numPr>
        <w:spacing w:line="360" w:lineRule="auto"/>
        <w:ind w:rightChars="19" w:right="40"/>
        <w:rPr>
          <w:rFonts w:ascii="宋体" w:hAnsi="宋体" w:cs="宋体" w:hint="eastAsia"/>
          <w:szCs w:val="21"/>
        </w:rPr>
      </w:pPr>
      <w:r w:rsidRPr="00733369">
        <w:rPr>
          <w:rFonts w:ascii="宋体" w:hAnsi="宋体" w:cs="宋体" w:hint="eastAsia"/>
          <w:szCs w:val="21"/>
        </w:rPr>
        <w:t>严格依据绝缘操作规程进行，绝缘固化后无明显气孔与裂纹，绝缘组件应能达到</w:t>
      </w:r>
      <w:r w:rsidRPr="00733369">
        <w:rPr>
          <w:szCs w:val="21"/>
        </w:rPr>
        <w:t>20kV/MB&amp;</w:t>
      </w:r>
      <w:r w:rsidRPr="00733369">
        <w:rPr>
          <w:rFonts w:hint="eastAsia"/>
          <w:szCs w:val="21"/>
        </w:rPr>
        <w:t>2</w:t>
      </w:r>
      <w:r w:rsidRPr="00733369">
        <w:rPr>
          <w:szCs w:val="21"/>
        </w:rPr>
        <w:t>kV/CC</w:t>
      </w:r>
      <w:r w:rsidRPr="00733369">
        <w:rPr>
          <w:rFonts w:ascii="宋体" w:hAnsi="宋体" w:cs="宋体" w:hint="eastAsia"/>
          <w:szCs w:val="21"/>
        </w:rPr>
        <w:t>直流高压测试条件下电阻不小于</w:t>
      </w:r>
      <w:r w:rsidRPr="00733369">
        <w:rPr>
          <w:szCs w:val="21"/>
        </w:rPr>
        <w:t>500MΩ</w:t>
      </w:r>
      <w:r w:rsidRPr="00733369">
        <w:rPr>
          <w:rFonts w:ascii="宋体" w:hAnsi="宋体" w:cs="宋体" w:hint="eastAsia"/>
          <w:szCs w:val="21"/>
        </w:rPr>
        <w:t>的要求，具体绝缘性能要求按照招标方绝缘测试规程执行；其它未述与具体要求参考图纸（内部电流引线与超导缆超导接头连接的绝缘处理要求同样如此）。</w:t>
      </w:r>
    </w:p>
    <w:p w14:paraId="0D484F30" w14:textId="77777777" w:rsidR="00A973E7" w:rsidRPr="00733369" w:rsidRDefault="00A973E7" w:rsidP="00A973E7">
      <w:pPr>
        <w:pStyle w:val="Style21"/>
        <w:numPr>
          <w:ilvl w:val="0"/>
          <w:numId w:val="3"/>
        </w:numPr>
        <w:spacing w:line="360" w:lineRule="auto"/>
        <w:ind w:rightChars="19" w:right="40"/>
        <w:rPr>
          <w:rFonts w:ascii="宋体" w:hAnsi="宋体" w:cs="宋体" w:hint="eastAsia"/>
          <w:szCs w:val="21"/>
        </w:rPr>
      </w:pPr>
      <w:r w:rsidRPr="00733369">
        <w:rPr>
          <w:rFonts w:ascii="宋体" w:hAnsi="宋体" w:cs="宋体" w:hint="eastAsia"/>
          <w:szCs w:val="21"/>
        </w:rPr>
        <w:t>内部各类支撑要求：</w:t>
      </w:r>
    </w:p>
    <w:p w14:paraId="2A129A2A" w14:textId="77777777" w:rsidR="00A973E7" w:rsidRPr="00733369" w:rsidRDefault="00A973E7" w:rsidP="00A973E7">
      <w:pPr>
        <w:pStyle w:val="Style21"/>
        <w:numPr>
          <w:ilvl w:val="0"/>
          <w:numId w:val="4"/>
        </w:numPr>
        <w:spacing w:line="360" w:lineRule="auto"/>
        <w:ind w:rightChars="19" w:right="40"/>
        <w:rPr>
          <w:rFonts w:ascii="宋体" w:hAnsi="宋体" w:cs="宋体" w:hint="eastAsia"/>
          <w:szCs w:val="21"/>
        </w:rPr>
      </w:pPr>
      <w:r w:rsidRPr="00733369">
        <w:rPr>
          <w:rFonts w:ascii="宋体" w:hAnsi="宋体" w:cs="宋体" w:hint="eastAsia"/>
          <w:szCs w:val="21"/>
        </w:rPr>
        <w:t>内部各类支撑加工要求达到尺寸、精度与表面要求，部件组装达到形位公差要求；</w:t>
      </w:r>
    </w:p>
    <w:p w14:paraId="26B0F9CD" w14:textId="77777777" w:rsidR="00A973E7" w:rsidRPr="00733369" w:rsidRDefault="00A973E7" w:rsidP="00A973E7">
      <w:pPr>
        <w:pStyle w:val="Style21"/>
        <w:numPr>
          <w:ilvl w:val="0"/>
          <w:numId w:val="4"/>
        </w:numPr>
        <w:spacing w:line="360" w:lineRule="auto"/>
        <w:ind w:rightChars="19" w:right="40"/>
        <w:rPr>
          <w:rFonts w:ascii="宋体" w:hAnsi="宋体" w:cs="宋体" w:hint="eastAsia"/>
          <w:szCs w:val="21"/>
        </w:rPr>
      </w:pPr>
      <w:r w:rsidRPr="00733369">
        <w:rPr>
          <w:rFonts w:ascii="宋体" w:hAnsi="宋体" w:cs="宋体" w:hint="eastAsia"/>
          <w:szCs w:val="21"/>
        </w:rPr>
        <w:t>具体焊缝需要严格按照设计要求，所有设计的对接全焊透焊缝必须严格执行完整</w:t>
      </w:r>
      <w:r w:rsidRPr="00733369">
        <w:rPr>
          <w:szCs w:val="21"/>
        </w:rPr>
        <w:t>100%</w:t>
      </w:r>
      <w:r w:rsidRPr="00733369">
        <w:rPr>
          <w:rFonts w:ascii="宋体" w:hAnsi="宋体" w:cs="宋体" w:hint="eastAsia"/>
          <w:szCs w:val="21"/>
        </w:rPr>
        <w:t>体积检测，条件不具备的焊缝必须使用模拟真实空间的全尺寸焊接</w:t>
      </w:r>
      <w:r w:rsidRPr="00733369">
        <w:rPr>
          <w:szCs w:val="21"/>
        </w:rPr>
        <w:t>PPS</w:t>
      </w:r>
      <w:r w:rsidRPr="00733369">
        <w:rPr>
          <w:rFonts w:ascii="宋体" w:hAnsi="宋体" w:cs="宋体" w:hint="eastAsia"/>
          <w:szCs w:val="21"/>
        </w:rPr>
        <w:t>；其它未述与具体要求参考图纸。</w:t>
      </w:r>
    </w:p>
    <w:p w14:paraId="6E6BFE51" w14:textId="77777777" w:rsidR="00A973E7" w:rsidRPr="00733369" w:rsidRDefault="00A973E7" w:rsidP="00A973E7">
      <w:pPr>
        <w:pStyle w:val="aa"/>
        <w:widowControl/>
        <w:numPr>
          <w:ilvl w:val="0"/>
          <w:numId w:val="5"/>
        </w:numPr>
        <w:spacing w:line="360" w:lineRule="auto"/>
        <w:ind w:left="0" w:firstLine="0"/>
        <w:contextualSpacing w:val="0"/>
        <w:rPr>
          <w:rFonts w:ascii="宋体" w:hAnsi="宋体" w:cs="宋体" w:hint="eastAsia"/>
          <w:szCs w:val="21"/>
        </w:rPr>
      </w:pPr>
      <w:r w:rsidRPr="00733369">
        <w:rPr>
          <w:rFonts w:ascii="宋体" w:hAnsi="宋体" w:cs="宋体" w:hint="eastAsia"/>
          <w:szCs w:val="21"/>
        </w:rPr>
        <w:t>内部多层绝热的包绕：</w:t>
      </w:r>
    </w:p>
    <w:p w14:paraId="40086941" w14:textId="77777777" w:rsidR="00A973E7" w:rsidRPr="00733369" w:rsidRDefault="00A973E7" w:rsidP="00A973E7">
      <w:pPr>
        <w:pStyle w:val="aa"/>
        <w:widowControl/>
        <w:spacing w:line="360" w:lineRule="auto"/>
        <w:rPr>
          <w:rFonts w:ascii="宋体" w:hAnsi="宋体" w:cs="宋体" w:hint="eastAsia"/>
          <w:szCs w:val="21"/>
        </w:rPr>
      </w:pPr>
      <w:r w:rsidRPr="00733369">
        <w:rPr>
          <w:rFonts w:ascii="宋体" w:hAnsi="宋体" w:cs="宋体" w:hint="eastAsia"/>
          <w:szCs w:val="21"/>
        </w:rPr>
        <w:t>主要包括80K冷屏和内部部分低温管路的外表面包绕处理（甲方提供冷屏多层绝热材料，其余部分不提供（如低温管路））。</w:t>
      </w:r>
    </w:p>
    <w:p w14:paraId="1DBAB7F6" w14:textId="77777777" w:rsidR="00A973E7" w:rsidRPr="00733369" w:rsidRDefault="00A973E7" w:rsidP="00A973E7">
      <w:pPr>
        <w:pStyle w:val="aa"/>
        <w:numPr>
          <w:ilvl w:val="0"/>
          <w:numId w:val="5"/>
        </w:numPr>
        <w:spacing w:line="360" w:lineRule="auto"/>
        <w:contextualSpacing w:val="0"/>
        <w:rPr>
          <w:rFonts w:ascii="宋体" w:hAnsi="宋体" w:cs="宋体" w:hint="eastAsia"/>
          <w:szCs w:val="21"/>
        </w:rPr>
      </w:pPr>
      <w:r w:rsidRPr="00733369">
        <w:rPr>
          <w:rFonts w:ascii="宋体" w:hAnsi="宋体" w:cs="宋体" w:hint="eastAsia"/>
          <w:szCs w:val="21"/>
        </w:rPr>
        <w:t>总体集成要求：</w:t>
      </w:r>
    </w:p>
    <w:p w14:paraId="1F300793" w14:textId="77777777" w:rsidR="00A973E7" w:rsidRPr="00733369" w:rsidRDefault="00A973E7" w:rsidP="00A973E7">
      <w:pPr>
        <w:pStyle w:val="aa"/>
        <w:widowControl/>
        <w:numPr>
          <w:ilvl w:val="0"/>
          <w:numId w:val="6"/>
        </w:numPr>
        <w:spacing w:line="360" w:lineRule="auto"/>
        <w:ind w:left="0" w:firstLine="425"/>
        <w:contextualSpacing w:val="0"/>
        <w:rPr>
          <w:rFonts w:ascii="宋体" w:hAnsi="宋体" w:cs="宋体" w:hint="eastAsia"/>
          <w:szCs w:val="21"/>
        </w:rPr>
      </w:pPr>
      <w:r w:rsidRPr="00733369">
        <w:rPr>
          <w:rFonts w:ascii="宋体" w:hAnsi="宋体" w:cs="宋体" w:hint="eastAsia"/>
          <w:szCs w:val="21"/>
        </w:rPr>
        <w:t>需提供</w:t>
      </w:r>
      <w:r w:rsidRPr="00733369">
        <w:rPr>
          <w:szCs w:val="21"/>
        </w:rPr>
        <w:t>C</w:t>
      </w:r>
      <w:r w:rsidRPr="00733369">
        <w:rPr>
          <w:rFonts w:hint="eastAsia"/>
          <w:szCs w:val="21"/>
        </w:rPr>
        <w:t>FT</w:t>
      </w:r>
      <w:r w:rsidRPr="00733369">
        <w:rPr>
          <w:rFonts w:ascii="宋体" w:hAnsi="宋体" w:cs="宋体" w:hint="eastAsia"/>
          <w:szCs w:val="21"/>
        </w:rPr>
        <w:t>总装在常温条件下真空状态和非真空状态下外形尺寸检测的报告（可依据真空外表面自带的靶标座测量）。</w:t>
      </w:r>
    </w:p>
    <w:p w14:paraId="109F5684" w14:textId="77777777" w:rsidR="00A973E7" w:rsidRPr="00733369" w:rsidRDefault="00A973E7" w:rsidP="00A973E7">
      <w:pPr>
        <w:pStyle w:val="aa"/>
        <w:widowControl/>
        <w:numPr>
          <w:ilvl w:val="0"/>
          <w:numId w:val="6"/>
        </w:numPr>
        <w:spacing w:line="360" w:lineRule="auto"/>
        <w:ind w:left="0" w:firstLine="425"/>
        <w:contextualSpacing w:val="0"/>
        <w:rPr>
          <w:rFonts w:ascii="宋体" w:hAnsi="宋体" w:cs="宋体" w:hint="eastAsia"/>
          <w:szCs w:val="21"/>
        </w:rPr>
      </w:pPr>
      <w:r w:rsidRPr="00733369">
        <w:rPr>
          <w:szCs w:val="21"/>
        </w:rPr>
        <w:t>C</w:t>
      </w:r>
      <w:r w:rsidRPr="00733369">
        <w:rPr>
          <w:rFonts w:hint="eastAsia"/>
          <w:szCs w:val="21"/>
        </w:rPr>
        <w:t>FT</w:t>
      </w:r>
      <w:r w:rsidRPr="00733369">
        <w:rPr>
          <w:rFonts w:ascii="宋体" w:hAnsi="宋体" w:cs="宋体" w:hint="eastAsia"/>
          <w:szCs w:val="21"/>
        </w:rPr>
        <w:t>总装转运后尺寸、精度，不得发生变化，需制造运输防护工装，设计制造的运输工装要求对总装有防护功能且方便拆卸。</w:t>
      </w:r>
    </w:p>
    <w:p w14:paraId="4BC6BDB3" w14:textId="77777777" w:rsidR="00A973E7" w:rsidRPr="00733369" w:rsidRDefault="00A973E7" w:rsidP="00A973E7">
      <w:pPr>
        <w:pStyle w:val="aa"/>
        <w:widowControl/>
        <w:numPr>
          <w:ilvl w:val="0"/>
          <w:numId w:val="6"/>
        </w:numPr>
        <w:spacing w:line="360" w:lineRule="auto"/>
        <w:ind w:left="0" w:firstLine="425"/>
        <w:contextualSpacing w:val="0"/>
        <w:rPr>
          <w:rFonts w:ascii="宋体" w:hAnsi="宋体" w:cs="宋体" w:hint="eastAsia"/>
          <w:szCs w:val="21"/>
        </w:rPr>
      </w:pPr>
      <w:r w:rsidRPr="00733369">
        <w:rPr>
          <w:rFonts w:ascii="宋体" w:hAnsi="宋体" w:cs="宋体" w:hint="eastAsia"/>
          <w:szCs w:val="21"/>
        </w:rPr>
        <w:t>应自备常温检漏工装（密封法兰，密封圈等），并在室温下整体进行抽真空、打压（内部低温管路）氦质谱检漏。</w:t>
      </w:r>
    </w:p>
    <w:p w14:paraId="22685B43" w14:textId="77777777" w:rsidR="00A973E7" w:rsidRPr="00733369" w:rsidRDefault="00A973E7" w:rsidP="00A973E7">
      <w:pPr>
        <w:pStyle w:val="aa"/>
        <w:widowControl/>
        <w:numPr>
          <w:ilvl w:val="0"/>
          <w:numId w:val="6"/>
        </w:numPr>
        <w:spacing w:line="360" w:lineRule="auto"/>
        <w:ind w:left="0" w:firstLine="425"/>
        <w:contextualSpacing w:val="0"/>
        <w:rPr>
          <w:rFonts w:ascii="宋体" w:hAnsi="宋体" w:cs="宋体" w:hint="eastAsia"/>
          <w:b/>
          <w:szCs w:val="21"/>
        </w:rPr>
      </w:pPr>
      <w:r w:rsidRPr="00733369">
        <w:rPr>
          <w:rFonts w:ascii="宋体" w:hAnsi="宋体" w:cs="宋体" w:hint="eastAsia"/>
          <w:szCs w:val="21"/>
        </w:rPr>
        <w:t>装配完成后罐体整体漏率小于</w:t>
      </w:r>
      <w:r w:rsidRPr="00733369">
        <w:rPr>
          <w:szCs w:val="21"/>
        </w:rPr>
        <w:t>1×10</w:t>
      </w:r>
      <w:r w:rsidRPr="00733369">
        <w:rPr>
          <w:szCs w:val="21"/>
          <w:vertAlign w:val="superscript"/>
        </w:rPr>
        <w:t>-</w:t>
      </w:r>
      <w:r w:rsidRPr="00733369">
        <w:rPr>
          <w:rFonts w:hint="eastAsia"/>
          <w:szCs w:val="21"/>
          <w:vertAlign w:val="superscript"/>
        </w:rPr>
        <w:t>8</w:t>
      </w:r>
      <w:r w:rsidRPr="00733369">
        <w:rPr>
          <w:szCs w:val="21"/>
        </w:rPr>
        <w:t>Pa.m3/s</w:t>
      </w:r>
      <w:r w:rsidRPr="00733369">
        <w:rPr>
          <w:rFonts w:ascii="宋体" w:hAnsi="宋体" w:cs="宋体" w:hint="eastAsia"/>
          <w:szCs w:val="21"/>
        </w:rPr>
        <w:t>。所有管道、氦密封边界、真空边界的焊接单点漏率小于</w:t>
      </w:r>
      <w:r w:rsidRPr="00733369">
        <w:rPr>
          <w:szCs w:val="21"/>
        </w:rPr>
        <w:t>1×10</w:t>
      </w:r>
      <w:r w:rsidRPr="00733369">
        <w:rPr>
          <w:szCs w:val="21"/>
          <w:vertAlign w:val="superscript"/>
        </w:rPr>
        <w:t>-9</w:t>
      </w:r>
      <w:r w:rsidRPr="00733369">
        <w:rPr>
          <w:szCs w:val="21"/>
        </w:rPr>
        <w:t>Pa.m</w:t>
      </w:r>
      <w:r w:rsidRPr="00733369">
        <w:rPr>
          <w:szCs w:val="21"/>
          <w:vertAlign w:val="superscript"/>
        </w:rPr>
        <w:t>3</w:t>
      </w:r>
      <w:r w:rsidRPr="00733369">
        <w:rPr>
          <w:szCs w:val="21"/>
        </w:rPr>
        <w:t>/s</w:t>
      </w:r>
      <w:r w:rsidRPr="00733369">
        <w:rPr>
          <w:rFonts w:ascii="宋体" w:hAnsi="宋体" w:cs="宋体" w:hint="eastAsia"/>
          <w:szCs w:val="21"/>
        </w:rPr>
        <w:t>，并出具检漏报告。</w:t>
      </w:r>
    </w:p>
    <w:p w14:paraId="7723677A" w14:textId="77777777" w:rsidR="009C2C8D" w:rsidRPr="00A973E7" w:rsidRDefault="009C2C8D">
      <w:pPr>
        <w:rPr>
          <w:rFonts w:hint="eastAsia"/>
        </w:rPr>
      </w:pPr>
    </w:p>
    <w:sectPr w:rsidR="009C2C8D" w:rsidRPr="00A973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8E17C0"/>
    <w:multiLevelType w:val="singleLevel"/>
    <w:tmpl w:val="9D8E17C0"/>
    <w:lvl w:ilvl="0">
      <w:start w:val="1"/>
      <w:numFmt w:val="decimal"/>
      <w:suff w:val="space"/>
      <w:lvlText w:val="%1)"/>
      <w:lvlJc w:val="left"/>
    </w:lvl>
  </w:abstractNum>
  <w:abstractNum w:abstractNumId="1" w15:restartNumberingAfterBreak="0">
    <w:nsid w:val="E18F0643"/>
    <w:multiLevelType w:val="singleLevel"/>
    <w:tmpl w:val="E18F0643"/>
    <w:lvl w:ilvl="0">
      <w:start w:val="1"/>
      <w:numFmt w:val="decimal"/>
      <w:lvlText w:val="%1)"/>
      <w:lvlJc w:val="left"/>
      <w:pPr>
        <w:ind w:left="425" w:hanging="425"/>
      </w:pPr>
      <w:rPr>
        <w:rFonts w:hint="default"/>
        <w:b w:val="0"/>
        <w:bCs/>
      </w:rPr>
    </w:lvl>
  </w:abstractNum>
  <w:abstractNum w:abstractNumId="2" w15:restartNumberingAfterBreak="0">
    <w:nsid w:val="0F98E32B"/>
    <w:multiLevelType w:val="singleLevel"/>
    <w:tmpl w:val="0F98E32B"/>
    <w:lvl w:ilvl="0">
      <w:start w:val="1"/>
      <w:numFmt w:val="bullet"/>
      <w:lvlText w:val=""/>
      <w:lvlJc w:val="left"/>
      <w:pPr>
        <w:ind w:left="420" w:hanging="420"/>
      </w:pPr>
      <w:rPr>
        <w:rFonts w:ascii="Wingdings" w:hAnsi="Wingdings" w:hint="default"/>
      </w:rPr>
    </w:lvl>
  </w:abstractNum>
  <w:abstractNum w:abstractNumId="3" w15:restartNumberingAfterBreak="0">
    <w:nsid w:val="11309367"/>
    <w:multiLevelType w:val="singleLevel"/>
    <w:tmpl w:val="11309367"/>
    <w:lvl w:ilvl="0">
      <w:start w:val="1"/>
      <w:numFmt w:val="bullet"/>
      <w:lvlText w:val=""/>
      <w:lvlJc w:val="left"/>
      <w:pPr>
        <w:ind w:left="420" w:hanging="420"/>
      </w:pPr>
      <w:rPr>
        <w:rFonts w:ascii="Wingdings" w:hAnsi="Wingdings" w:hint="default"/>
      </w:rPr>
    </w:lvl>
  </w:abstractNum>
  <w:abstractNum w:abstractNumId="4" w15:restartNumberingAfterBreak="0">
    <w:nsid w:val="6DB25353"/>
    <w:multiLevelType w:val="singleLevel"/>
    <w:tmpl w:val="6DB25353"/>
    <w:lvl w:ilvl="0">
      <w:start w:val="1"/>
      <w:numFmt w:val="bullet"/>
      <w:lvlText w:val=""/>
      <w:lvlJc w:val="left"/>
      <w:pPr>
        <w:ind w:left="420" w:hanging="420"/>
      </w:pPr>
      <w:rPr>
        <w:rFonts w:ascii="Wingdings" w:hAnsi="Wingdings" w:hint="default"/>
      </w:rPr>
    </w:lvl>
  </w:abstractNum>
  <w:abstractNum w:abstractNumId="5" w15:restartNumberingAfterBreak="0">
    <w:nsid w:val="6FC78B2F"/>
    <w:multiLevelType w:val="singleLevel"/>
    <w:tmpl w:val="6FC78B2F"/>
    <w:lvl w:ilvl="0">
      <w:start w:val="1"/>
      <w:numFmt w:val="decimal"/>
      <w:suff w:val="nothing"/>
      <w:lvlText w:val="%1）"/>
      <w:lvlJc w:val="left"/>
    </w:lvl>
  </w:abstractNum>
  <w:num w:numId="1" w16cid:durableId="1151403959">
    <w:abstractNumId w:val="3"/>
  </w:num>
  <w:num w:numId="2" w16cid:durableId="787698747">
    <w:abstractNumId w:val="5"/>
  </w:num>
  <w:num w:numId="3" w16cid:durableId="484860333">
    <w:abstractNumId w:val="4"/>
  </w:num>
  <w:num w:numId="4" w16cid:durableId="2103211814">
    <w:abstractNumId w:val="0"/>
  </w:num>
  <w:num w:numId="5" w16cid:durableId="1307130575">
    <w:abstractNumId w:val="2"/>
  </w:num>
  <w:num w:numId="6" w16cid:durableId="1588611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3E7"/>
    <w:rsid w:val="00262C35"/>
    <w:rsid w:val="004B5C63"/>
    <w:rsid w:val="009C2C8D"/>
    <w:rsid w:val="00A973E7"/>
    <w:rsid w:val="00DB5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8CE52"/>
  <w15:chartTrackingRefBased/>
  <w15:docId w15:val="{CA1891DC-71F1-4A30-9940-F7BAB170F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A973E7"/>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973E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973E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973E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973E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973E7"/>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A973E7"/>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973E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973E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973E7"/>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qFormat/>
    <w:rsid w:val="00A973E7"/>
    <w:rPr>
      <w:rFonts w:asciiTheme="majorHAnsi" w:eastAsiaTheme="majorEastAsia" w:hAnsiTheme="majorHAnsi" w:cstheme="majorBidi"/>
      <w:color w:val="2F5496" w:themeColor="accent1" w:themeShade="BF"/>
      <w:sz w:val="48"/>
      <w:szCs w:val="48"/>
    </w:rPr>
  </w:style>
  <w:style w:type="character" w:customStyle="1" w:styleId="20">
    <w:name w:val="标题 2 字符"/>
    <w:basedOn w:val="a1"/>
    <w:link w:val="2"/>
    <w:uiPriority w:val="9"/>
    <w:semiHidden/>
    <w:rsid w:val="00A973E7"/>
    <w:rPr>
      <w:rFonts w:asciiTheme="majorHAnsi" w:eastAsiaTheme="majorEastAsia" w:hAnsiTheme="majorHAnsi" w:cstheme="majorBidi"/>
      <w:color w:val="2F5496" w:themeColor="accent1" w:themeShade="BF"/>
      <w:sz w:val="40"/>
      <w:szCs w:val="40"/>
    </w:rPr>
  </w:style>
  <w:style w:type="character" w:customStyle="1" w:styleId="30">
    <w:name w:val="标题 3 字符"/>
    <w:basedOn w:val="a1"/>
    <w:link w:val="3"/>
    <w:uiPriority w:val="9"/>
    <w:semiHidden/>
    <w:rsid w:val="00A973E7"/>
    <w:rPr>
      <w:rFonts w:asciiTheme="majorHAnsi" w:eastAsiaTheme="majorEastAsia" w:hAnsiTheme="majorHAnsi" w:cstheme="majorBidi"/>
      <w:color w:val="2F5496" w:themeColor="accent1" w:themeShade="BF"/>
      <w:sz w:val="32"/>
      <w:szCs w:val="32"/>
    </w:rPr>
  </w:style>
  <w:style w:type="character" w:customStyle="1" w:styleId="40">
    <w:name w:val="标题 4 字符"/>
    <w:basedOn w:val="a1"/>
    <w:link w:val="4"/>
    <w:uiPriority w:val="9"/>
    <w:semiHidden/>
    <w:rsid w:val="00A973E7"/>
    <w:rPr>
      <w:rFonts w:cstheme="majorBidi"/>
      <w:color w:val="2F5496" w:themeColor="accent1" w:themeShade="BF"/>
      <w:sz w:val="28"/>
      <w:szCs w:val="28"/>
    </w:rPr>
  </w:style>
  <w:style w:type="character" w:customStyle="1" w:styleId="50">
    <w:name w:val="标题 5 字符"/>
    <w:basedOn w:val="a1"/>
    <w:link w:val="5"/>
    <w:uiPriority w:val="9"/>
    <w:semiHidden/>
    <w:rsid w:val="00A973E7"/>
    <w:rPr>
      <w:rFonts w:cstheme="majorBidi"/>
      <w:color w:val="2F5496" w:themeColor="accent1" w:themeShade="BF"/>
      <w:sz w:val="24"/>
      <w:szCs w:val="24"/>
    </w:rPr>
  </w:style>
  <w:style w:type="character" w:customStyle="1" w:styleId="60">
    <w:name w:val="标题 6 字符"/>
    <w:basedOn w:val="a1"/>
    <w:link w:val="6"/>
    <w:uiPriority w:val="9"/>
    <w:semiHidden/>
    <w:rsid w:val="00A973E7"/>
    <w:rPr>
      <w:rFonts w:cstheme="majorBidi"/>
      <w:b/>
      <w:bCs/>
      <w:color w:val="2F5496" w:themeColor="accent1" w:themeShade="BF"/>
    </w:rPr>
  </w:style>
  <w:style w:type="character" w:customStyle="1" w:styleId="70">
    <w:name w:val="标题 7 字符"/>
    <w:basedOn w:val="a1"/>
    <w:link w:val="7"/>
    <w:uiPriority w:val="9"/>
    <w:semiHidden/>
    <w:rsid w:val="00A973E7"/>
    <w:rPr>
      <w:rFonts w:cstheme="majorBidi"/>
      <w:b/>
      <w:bCs/>
      <w:color w:val="595959" w:themeColor="text1" w:themeTint="A6"/>
    </w:rPr>
  </w:style>
  <w:style w:type="character" w:customStyle="1" w:styleId="80">
    <w:name w:val="标题 8 字符"/>
    <w:basedOn w:val="a1"/>
    <w:link w:val="8"/>
    <w:uiPriority w:val="9"/>
    <w:semiHidden/>
    <w:rsid w:val="00A973E7"/>
    <w:rPr>
      <w:rFonts w:cstheme="majorBidi"/>
      <w:color w:val="595959" w:themeColor="text1" w:themeTint="A6"/>
    </w:rPr>
  </w:style>
  <w:style w:type="character" w:customStyle="1" w:styleId="90">
    <w:name w:val="标题 9 字符"/>
    <w:basedOn w:val="a1"/>
    <w:link w:val="9"/>
    <w:uiPriority w:val="9"/>
    <w:semiHidden/>
    <w:rsid w:val="00A973E7"/>
    <w:rPr>
      <w:rFonts w:eastAsiaTheme="majorEastAsia" w:cstheme="majorBidi"/>
      <w:color w:val="595959" w:themeColor="text1" w:themeTint="A6"/>
    </w:rPr>
  </w:style>
  <w:style w:type="paragraph" w:styleId="a4">
    <w:name w:val="Title"/>
    <w:basedOn w:val="a"/>
    <w:next w:val="a"/>
    <w:link w:val="a5"/>
    <w:uiPriority w:val="10"/>
    <w:qFormat/>
    <w:rsid w:val="00A973E7"/>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1"/>
    <w:link w:val="a4"/>
    <w:uiPriority w:val="10"/>
    <w:rsid w:val="00A973E7"/>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A973E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1"/>
    <w:link w:val="a6"/>
    <w:uiPriority w:val="11"/>
    <w:rsid w:val="00A973E7"/>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A973E7"/>
    <w:pPr>
      <w:spacing w:before="160" w:after="160"/>
      <w:jc w:val="center"/>
    </w:pPr>
    <w:rPr>
      <w:i/>
      <w:iCs/>
      <w:color w:val="404040" w:themeColor="text1" w:themeTint="BF"/>
    </w:rPr>
  </w:style>
  <w:style w:type="character" w:customStyle="1" w:styleId="a9">
    <w:name w:val="引用 字符"/>
    <w:basedOn w:val="a1"/>
    <w:link w:val="a8"/>
    <w:uiPriority w:val="29"/>
    <w:rsid w:val="00A973E7"/>
    <w:rPr>
      <w:i/>
      <w:iCs/>
      <w:color w:val="404040" w:themeColor="text1" w:themeTint="BF"/>
    </w:rPr>
  </w:style>
  <w:style w:type="paragraph" w:styleId="aa">
    <w:name w:val="List Paragraph"/>
    <w:basedOn w:val="a"/>
    <w:uiPriority w:val="34"/>
    <w:qFormat/>
    <w:rsid w:val="00A973E7"/>
    <w:pPr>
      <w:ind w:left="720"/>
      <w:contextualSpacing/>
    </w:pPr>
  </w:style>
  <w:style w:type="character" w:styleId="ab">
    <w:name w:val="Intense Emphasis"/>
    <w:basedOn w:val="a1"/>
    <w:uiPriority w:val="21"/>
    <w:qFormat/>
    <w:rsid w:val="00A973E7"/>
    <w:rPr>
      <w:i/>
      <w:iCs/>
      <w:color w:val="2F5496" w:themeColor="accent1" w:themeShade="BF"/>
    </w:rPr>
  </w:style>
  <w:style w:type="paragraph" w:styleId="ac">
    <w:name w:val="Intense Quote"/>
    <w:basedOn w:val="a"/>
    <w:next w:val="a"/>
    <w:link w:val="ad"/>
    <w:uiPriority w:val="30"/>
    <w:qFormat/>
    <w:rsid w:val="00A973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1"/>
    <w:link w:val="ac"/>
    <w:uiPriority w:val="30"/>
    <w:rsid w:val="00A973E7"/>
    <w:rPr>
      <w:i/>
      <w:iCs/>
      <w:color w:val="2F5496" w:themeColor="accent1" w:themeShade="BF"/>
    </w:rPr>
  </w:style>
  <w:style w:type="character" w:styleId="ae">
    <w:name w:val="Intense Reference"/>
    <w:basedOn w:val="a1"/>
    <w:uiPriority w:val="32"/>
    <w:qFormat/>
    <w:rsid w:val="00A973E7"/>
    <w:rPr>
      <w:b/>
      <w:bCs/>
      <w:smallCaps/>
      <w:color w:val="2F5496" w:themeColor="accent1" w:themeShade="BF"/>
      <w:spacing w:val="5"/>
    </w:rPr>
  </w:style>
  <w:style w:type="paragraph" w:customStyle="1" w:styleId="Style21">
    <w:name w:val="_Style 21"/>
    <w:basedOn w:val="a"/>
    <w:next w:val="aa"/>
    <w:uiPriority w:val="34"/>
    <w:qFormat/>
    <w:rsid w:val="00A973E7"/>
    <w:pPr>
      <w:ind w:firstLine="420"/>
    </w:pPr>
  </w:style>
  <w:style w:type="paragraph" w:styleId="a0">
    <w:name w:val="Body Text"/>
    <w:basedOn w:val="a"/>
    <w:link w:val="af"/>
    <w:uiPriority w:val="99"/>
    <w:semiHidden/>
    <w:unhideWhenUsed/>
    <w:rsid w:val="00A973E7"/>
    <w:pPr>
      <w:spacing w:after="120"/>
    </w:pPr>
  </w:style>
  <w:style w:type="character" w:customStyle="1" w:styleId="af">
    <w:name w:val="正文文本 字符"/>
    <w:basedOn w:val="a1"/>
    <w:link w:val="a0"/>
    <w:uiPriority w:val="99"/>
    <w:semiHidden/>
    <w:rsid w:val="00A973E7"/>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1297</Characters>
  <Application>Microsoft Office Word</Application>
  <DocSecurity>0</DocSecurity>
  <Lines>10</Lines>
  <Paragraphs>3</Paragraphs>
  <ScaleCrop>false</ScaleCrop>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2026-11-02T07:02:00Z</dcterms:created>
  <dcterms:modified xsi:type="dcterms:W3CDTF">2026-11-02T07:02:00Z</dcterms:modified>
</cp:coreProperties>
</file>