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28DEF2">
      <w:pPr>
        <w:pStyle w:val="2"/>
        <w:widowControl/>
        <w:snapToGrid w:val="0"/>
        <w:spacing w:before="0" w:after="0" w:line="360" w:lineRule="auto"/>
        <w:jc w:val="center"/>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采购需求及技术规格要求</w:t>
      </w:r>
    </w:p>
    <w:p w14:paraId="4056728C">
      <w:pPr>
        <w:adjustRightInd w:val="0"/>
        <w:snapToGrid w:val="0"/>
        <w:spacing w:before="120" w:beforeLines="50" w:line="360" w:lineRule="auto"/>
        <w:rPr>
          <w:b/>
          <w:color w:val="000000" w:themeColor="text1"/>
          <w:sz w:val="24"/>
          <w:highlight w:val="none"/>
          <w14:textFill>
            <w14:solidFill>
              <w14:schemeClr w14:val="tx1"/>
            </w14:solidFill>
          </w14:textFill>
        </w:rPr>
      </w:pPr>
      <w:bookmarkStart w:id="6" w:name="_GoBack"/>
      <w:bookmarkEnd w:id="6"/>
      <w:r>
        <w:rPr>
          <w:b/>
          <w:color w:val="000000" w:themeColor="text1"/>
          <w:sz w:val="24"/>
          <w:highlight w:val="none"/>
          <w14:textFill>
            <w14:solidFill>
              <w14:schemeClr w14:val="tx1"/>
            </w14:solidFill>
          </w14:textFill>
        </w:rPr>
        <w:t>1</w:t>
      </w:r>
      <w:r>
        <w:rPr>
          <w:rFonts w:hint="eastAsia"/>
          <w:b/>
          <w:color w:val="000000" w:themeColor="text1"/>
          <w:sz w:val="24"/>
          <w:highlight w:val="none"/>
          <w14:textFill>
            <w14:solidFill>
              <w14:schemeClr w14:val="tx1"/>
            </w14:solidFill>
          </w14:textFill>
        </w:rPr>
        <w:t>、</w:t>
      </w:r>
      <w:r>
        <w:rPr>
          <w:b/>
          <w:color w:val="000000" w:themeColor="text1"/>
          <w:sz w:val="24"/>
          <w:highlight w:val="none"/>
          <w14:textFill>
            <w14:solidFill>
              <w14:schemeClr w14:val="tx1"/>
            </w14:solidFill>
          </w14:textFill>
        </w:rPr>
        <w:t>货物需求一览表</w:t>
      </w:r>
    </w:p>
    <w:p w14:paraId="5D119B15">
      <w:pPr>
        <w:widowControl/>
        <w:spacing w:line="360" w:lineRule="auto"/>
        <w:rPr>
          <w:rFonts w:ascii="宋体" w:hAnsi="宋体"/>
          <w:b/>
          <w:bCs/>
          <w:color w:val="000000" w:themeColor="text1"/>
          <w:szCs w:val="21"/>
          <w:highlight w:val="none"/>
          <w14:textFill>
            <w14:solidFill>
              <w14:schemeClr w14:val="tx1"/>
            </w14:solidFill>
          </w14:textFill>
        </w:rPr>
      </w:pPr>
    </w:p>
    <w:tbl>
      <w:tblPr>
        <w:tblStyle w:val="3"/>
        <w:tblW w:w="70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4"/>
        <w:gridCol w:w="3112"/>
        <w:gridCol w:w="1028"/>
        <w:gridCol w:w="2136"/>
      </w:tblGrid>
      <w:tr w14:paraId="3AF58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4" w:type="dxa"/>
            <w:noWrap w:val="0"/>
            <w:vAlign w:val="center"/>
          </w:tcPr>
          <w:p w14:paraId="4DE77C44">
            <w:pPr>
              <w:adjustRightInd w:val="0"/>
              <w:snapToGrid w:val="0"/>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序号</w:t>
            </w:r>
          </w:p>
        </w:tc>
        <w:tc>
          <w:tcPr>
            <w:tcW w:w="3112" w:type="dxa"/>
            <w:noWrap w:val="0"/>
            <w:vAlign w:val="center"/>
          </w:tcPr>
          <w:p w14:paraId="35EE0BBA">
            <w:pPr>
              <w:adjustRightInd w:val="0"/>
              <w:snapToGrid w:val="0"/>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部件名称</w:t>
            </w:r>
          </w:p>
        </w:tc>
        <w:tc>
          <w:tcPr>
            <w:tcW w:w="1028" w:type="dxa"/>
            <w:noWrap w:val="0"/>
            <w:vAlign w:val="center"/>
          </w:tcPr>
          <w:p w14:paraId="6B5F6F5B">
            <w:pPr>
              <w:adjustRightInd w:val="0"/>
              <w:snapToGrid w:val="0"/>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数量</w:t>
            </w:r>
          </w:p>
        </w:tc>
        <w:tc>
          <w:tcPr>
            <w:tcW w:w="2136" w:type="dxa"/>
            <w:noWrap w:val="0"/>
            <w:vAlign w:val="center"/>
          </w:tcPr>
          <w:p w14:paraId="020573AB">
            <w:pPr>
              <w:adjustRightInd w:val="0"/>
              <w:snapToGrid w:val="0"/>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交货期</w:t>
            </w:r>
          </w:p>
        </w:tc>
      </w:tr>
      <w:tr w14:paraId="779FA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804" w:type="dxa"/>
            <w:noWrap w:val="0"/>
            <w:vAlign w:val="center"/>
          </w:tcPr>
          <w:p w14:paraId="37D40D89">
            <w:pPr>
              <w:jc w:val="center"/>
              <w:rPr>
                <w:color w:val="000000" w:themeColor="text1"/>
                <w:szCs w:val="21"/>
                <w:highlight w:val="none"/>
                <w14:textFill>
                  <w14:solidFill>
                    <w14:schemeClr w14:val="tx1"/>
                  </w14:solidFill>
                </w14:textFill>
              </w:rPr>
            </w:pPr>
            <w:r>
              <w:rPr>
                <w:color w:val="000000" w:themeColor="text1"/>
                <w:sz w:val="24"/>
                <w:highlight w:val="none"/>
                <w14:textFill>
                  <w14:solidFill>
                    <w14:schemeClr w14:val="tx1"/>
                  </w14:solidFill>
                </w14:textFill>
              </w:rPr>
              <w:t>1</w:t>
            </w:r>
          </w:p>
        </w:tc>
        <w:tc>
          <w:tcPr>
            <w:tcW w:w="3112" w:type="dxa"/>
            <w:noWrap w:val="0"/>
            <w:vAlign w:val="center"/>
          </w:tcPr>
          <w:p w14:paraId="0B806FFE">
            <w:pPr>
              <w:spacing w:line="360" w:lineRule="auto"/>
              <w:jc w:val="center"/>
              <w:rPr>
                <w:color w:val="000000" w:themeColor="text1"/>
                <w:szCs w:val="21"/>
                <w:highlight w:val="none"/>
                <w14:textFill>
                  <w14:solidFill>
                    <w14:schemeClr w14:val="tx1"/>
                  </w14:solidFill>
                </w14:textFill>
              </w:rPr>
            </w:pPr>
            <w:r>
              <w:rPr>
                <w:color w:val="000000" w:themeColor="text1"/>
                <w:sz w:val="24"/>
                <w:highlight w:val="none"/>
                <w14:textFill>
                  <w14:solidFill>
                    <w14:schemeClr w14:val="tx1"/>
                  </w14:solidFill>
                </w14:textFill>
              </w:rPr>
              <w:t>TF1-8_CLB</w:t>
            </w:r>
          </w:p>
        </w:tc>
        <w:tc>
          <w:tcPr>
            <w:tcW w:w="1028" w:type="dxa"/>
            <w:noWrap w:val="0"/>
            <w:vAlign w:val="center"/>
          </w:tcPr>
          <w:p w14:paraId="43BF93E4">
            <w:pPr>
              <w:jc w:val="center"/>
              <w:rPr>
                <w:color w:val="000000" w:themeColor="text1"/>
                <w:szCs w:val="21"/>
                <w:highlight w:val="none"/>
                <w14:textFill>
                  <w14:solidFill>
                    <w14:schemeClr w14:val="tx1"/>
                  </w14:solidFill>
                </w14:textFill>
              </w:rPr>
            </w:pPr>
            <w:r>
              <w:rPr>
                <w:color w:val="000000" w:themeColor="text1"/>
                <w:sz w:val="24"/>
                <w:highlight w:val="none"/>
                <w14:textFill>
                  <w14:solidFill>
                    <w14:schemeClr w14:val="tx1"/>
                  </w14:solidFill>
                </w14:textFill>
              </w:rPr>
              <w:t>1</w:t>
            </w:r>
          </w:p>
        </w:tc>
        <w:tc>
          <w:tcPr>
            <w:tcW w:w="2136" w:type="dxa"/>
            <w:noWrap w:val="0"/>
            <w:vAlign w:val="center"/>
          </w:tcPr>
          <w:p w14:paraId="2221A54F">
            <w:pPr>
              <w:adjustRightInd w:val="0"/>
              <w:snapToGrid w:val="0"/>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签订合同后</w:t>
            </w:r>
            <w:r>
              <w:rPr>
                <w:color w:val="000000" w:themeColor="text1"/>
                <w:szCs w:val="21"/>
                <w:highlight w:val="none"/>
                <w14:textFill>
                  <w14:solidFill>
                    <w14:schemeClr w14:val="tx1"/>
                  </w14:solidFill>
                </w14:textFill>
              </w:rPr>
              <w:t>3</w:t>
            </w:r>
            <w:r>
              <w:rPr>
                <w:rFonts w:hint="eastAsia" w:ascii="宋体" w:hAnsi="宋体"/>
                <w:color w:val="000000" w:themeColor="text1"/>
                <w:szCs w:val="21"/>
                <w:highlight w:val="none"/>
                <w14:textFill>
                  <w14:solidFill>
                    <w14:schemeClr w14:val="tx1"/>
                  </w14:solidFill>
                </w14:textFill>
              </w:rPr>
              <w:t>个月</w:t>
            </w:r>
          </w:p>
        </w:tc>
      </w:tr>
      <w:tr w14:paraId="1FCA2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804" w:type="dxa"/>
            <w:noWrap w:val="0"/>
            <w:vAlign w:val="center"/>
          </w:tcPr>
          <w:p w14:paraId="74390612">
            <w:pPr>
              <w:jc w:val="center"/>
              <w:rPr>
                <w:color w:val="000000" w:themeColor="text1"/>
                <w:szCs w:val="21"/>
                <w:highlight w:val="none"/>
                <w14:textFill>
                  <w14:solidFill>
                    <w14:schemeClr w14:val="tx1"/>
                  </w14:solidFill>
                </w14:textFill>
              </w:rPr>
            </w:pPr>
            <w:r>
              <w:rPr>
                <w:color w:val="000000" w:themeColor="text1"/>
                <w:sz w:val="24"/>
                <w:highlight w:val="none"/>
                <w14:textFill>
                  <w14:solidFill>
                    <w14:schemeClr w14:val="tx1"/>
                  </w14:solidFill>
                </w14:textFill>
              </w:rPr>
              <w:t>2</w:t>
            </w:r>
          </w:p>
        </w:tc>
        <w:tc>
          <w:tcPr>
            <w:tcW w:w="3112" w:type="dxa"/>
            <w:noWrap w:val="0"/>
            <w:vAlign w:val="center"/>
          </w:tcPr>
          <w:p w14:paraId="3250CD6B">
            <w:pPr>
              <w:spacing w:line="360" w:lineRule="auto"/>
              <w:jc w:val="center"/>
              <w:rPr>
                <w:color w:val="000000" w:themeColor="text1"/>
                <w:szCs w:val="21"/>
                <w:highlight w:val="none"/>
                <w14:textFill>
                  <w14:solidFill>
                    <w14:schemeClr w14:val="tx1"/>
                  </w14:solidFill>
                </w14:textFill>
              </w:rPr>
            </w:pPr>
            <w:r>
              <w:rPr>
                <w:color w:val="000000" w:themeColor="text1"/>
                <w:sz w:val="24"/>
                <w:highlight w:val="none"/>
                <w14:textFill>
                  <w14:solidFill>
                    <w14:schemeClr w14:val="tx1"/>
                  </w14:solidFill>
                </w14:textFill>
              </w:rPr>
              <w:t>TF9-16_CLB</w:t>
            </w:r>
          </w:p>
        </w:tc>
        <w:tc>
          <w:tcPr>
            <w:tcW w:w="1028" w:type="dxa"/>
            <w:noWrap w:val="0"/>
            <w:vAlign w:val="center"/>
          </w:tcPr>
          <w:p w14:paraId="5A6D650F">
            <w:pPr>
              <w:jc w:val="center"/>
              <w:rPr>
                <w:color w:val="000000" w:themeColor="text1"/>
                <w:szCs w:val="21"/>
                <w:highlight w:val="none"/>
                <w14:textFill>
                  <w14:solidFill>
                    <w14:schemeClr w14:val="tx1"/>
                  </w14:solidFill>
                </w14:textFill>
              </w:rPr>
            </w:pPr>
            <w:r>
              <w:rPr>
                <w:color w:val="000000" w:themeColor="text1"/>
                <w:sz w:val="24"/>
                <w:highlight w:val="none"/>
                <w14:textFill>
                  <w14:solidFill>
                    <w14:schemeClr w14:val="tx1"/>
                  </w14:solidFill>
                </w14:textFill>
              </w:rPr>
              <w:t>1</w:t>
            </w:r>
          </w:p>
        </w:tc>
        <w:tc>
          <w:tcPr>
            <w:tcW w:w="2136" w:type="dxa"/>
            <w:noWrap w:val="0"/>
            <w:vAlign w:val="center"/>
          </w:tcPr>
          <w:p w14:paraId="20EF53A6">
            <w:pPr>
              <w:adjustRightInd w:val="0"/>
              <w:snapToGrid w:val="0"/>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签订合同后</w:t>
            </w:r>
            <w:r>
              <w:rPr>
                <w:color w:val="000000" w:themeColor="text1"/>
                <w:szCs w:val="21"/>
                <w:highlight w:val="none"/>
                <w14:textFill>
                  <w14:solidFill>
                    <w14:schemeClr w14:val="tx1"/>
                  </w14:solidFill>
                </w14:textFill>
              </w:rPr>
              <w:t>4</w:t>
            </w:r>
            <w:r>
              <w:rPr>
                <w:rFonts w:hint="eastAsia" w:ascii="宋体" w:hAnsi="宋体"/>
                <w:color w:val="000000" w:themeColor="text1"/>
                <w:szCs w:val="21"/>
                <w:highlight w:val="none"/>
                <w14:textFill>
                  <w14:solidFill>
                    <w14:schemeClr w14:val="tx1"/>
                  </w14:solidFill>
                </w14:textFill>
              </w:rPr>
              <w:t>个月</w:t>
            </w:r>
          </w:p>
        </w:tc>
      </w:tr>
      <w:tr w14:paraId="32AA2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804" w:type="dxa"/>
            <w:noWrap w:val="0"/>
            <w:vAlign w:val="center"/>
          </w:tcPr>
          <w:p w14:paraId="1FAA402C">
            <w:pPr>
              <w:jc w:val="center"/>
              <w:rPr>
                <w:color w:val="000000" w:themeColor="text1"/>
                <w:szCs w:val="21"/>
                <w:highlight w:val="none"/>
                <w14:textFill>
                  <w14:solidFill>
                    <w14:schemeClr w14:val="tx1"/>
                  </w14:solidFill>
                </w14:textFill>
              </w:rPr>
            </w:pPr>
            <w:r>
              <w:rPr>
                <w:color w:val="000000" w:themeColor="text1"/>
                <w:sz w:val="24"/>
                <w:highlight w:val="none"/>
                <w14:textFill>
                  <w14:solidFill>
                    <w14:schemeClr w14:val="tx1"/>
                  </w14:solidFill>
                </w14:textFill>
              </w:rPr>
              <w:t>3</w:t>
            </w:r>
          </w:p>
        </w:tc>
        <w:tc>
          <w:tcPr>
            <w:tcW w:w="3112" w:type="dxa"/>
            <w:noWrap w:val="0"/>
            <w:vAlign w:val="center"/>
          </w:tcPr>
          <w:p w14:paraId="60DD9E44">
            <w:pPr>
              <w:spacing w:line="360" w:lineRule="auto"/>
              <w:jc w:val="center"/>
              <w:rPr>
                <w:color w:val="000000" w:themeColor="text1"/>
                <w:szCs w:val="21"/>
                <w:highlight w:val="none"/>
                <w14:textFill>
                  <w14:solidFill>
                    <w14:schemeClr w14:val="tx1"/>
                  </w14:solidFill>
                </w14:textFill>
              </w:rPr>
            </w:pPr>
            <w:r>
              <w:rPr>
                <w:color w:val="000000" w:themeColor="text1"/>
                <w:sz w:val="24"/>
                <w:highlight w:val="none"/>
                <w14:textFill>
                  <w14:solidFill>
                    <w14:schemeClr w14:val="tx1"/>
                  </w14:solidFill>
                </w14:textFill>
              </w:rPr>
              <w:t>PF4-7_CLB</w:t>
            </w:r>
          </w:p>
        </w:tc>
        <w:tc>
          <w:tcPr>
            <w:tcW w:w="1028" w:type="dxa"/>
            <w:noWrap w:val="0"/>
            <w:vAlign w:val="center"/>
          </w:tcPr>
          <w:p w14:paraId="04B1E791">
            <w:pPr>
              <w:jc w:val="center"/>
              <w:rPr>
                <w:color w:val="000000" w:themeColor="text1"/>
                <w:szCs w:val="21"/>
                <w:highlight w:val="none"/>
                <w14:textFill>
                  <w14:solidFill>
                    <w14:schemeClr w14:val="tx1"/>
                  </w14:solidFill>
                </w14:textFill>
              </w:rPr>
            </w:pPr>
            <w:r>
              <w:rPr>
                <w:color w:val="000000" w:themeColor="text1"/>
                <w:sz w:val="24"/>
                <w:highlight w:val="none"/>
                <w14:textFill>
                  <w14:solidFill>
                    <w14:schemeClr w14:val="tx1"/>
                  </w14:solidFill>
                </w14:textFill>
              </w:rPr>
              <w:t>1</w:t>
            </w:r>
          </w:p>
        </w:tc>
        <w:tc>
          <w:tcPr>
            <w:tcW w:w="2136" w:type="dxa"/>
            <w:noWrap w:val="0"/>
            <w:vAlign w:val="center"/>
          </w:tcPr>
          <w:p w14:paraId="4B5EDF4B">
            <w:pPr>
              <w:adjustRightInd w:val="0"/>
              <w:snapToGrid w:val="0"/>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签订合同后</w:t>
            </w:r>
            <w:r>
              <w:rPr>
                <w:color w:val="000000" w:themeColor="text1"/>
                <w:szCs w:val="21"/>
                <w:highlight w:val="none"/>
                <w14:textFill>
                  <w14:solidFill>
                    <w14:schemeClr w14:val="tx1"/>
                  </w14:solidFill>
                </w14:textFill>
              </w:rPr>
              <w:t>5</w:t>
            </w:r>
            <w:r>
              <w:rPr>
                <w:rFonts w:hint="eastAsia" w:ascii="宋体" w:hAnsi="宋体"/>
                <w:color w:val="000000" w:themeColor="text1"/>
                <w:szCs w:val="21"/>
                <w:highlight w:val="none"/>
                <w14:textFill>
                  <w14:solidFill>
                    <w14:schemeClr w14:val="tx1"/>
                  </w14:solidFill>
                </w14:textFill>
              </w:rPr>
              <w:t>个月</w:t>
            </w:r>
          </w:p>
        </w:tc>
      </w:tr>
      <w:tr w14:paraId="5C83A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804" w:type="dxa"/>
            <w:noWrap w:val="0"/>
            <w:vAlign w:val="center"/>
          </w:tcPr>
          <w:p w14:paraId="1DE572F1">
            <w:pPr>
              <w:jc w:val="center"/>
              <w:rPr>
                <w:color w:val="000000" w:themeColor="text1"/>
                <w:szCs w:val="21"/>
                <w:highlight w:val="none"/>
                <w14:textFill>
                  <w14:solidFill>
                    <w14:schemeClr w14:val="tx1"/>
                  </w14:solidFill>
                </w14:textFill>
              </w:rPr>
            </w:pPr>
            <w:r>
              <w:rPr>
                <w:color w:val="000000" w:themeColor="text1"/>
                <w:sz w:val="24"/>
                <w:highlight w:val="none"/>
                <w14:textFill>
                  <w14:solidFill>
                    <w14:schemeClr w14:val="tx1"/>
                  </w14:solidFill>
                </w14:textFill>
              </w:rPr>
              <w:t>4</w:t>
            </w:r>
          </w:p>
        </w:tc>
        <w:tc>
          <w:tcPr>
            <w:tcW w:w="3112" w:type="dxa"/>
            <w:noWrap w:val="0"/>
            <w:vAlign w:val="center"/>
          </w:tcPr>
          <w:p w14:paraId="4B0EF5F3">
            <w:pPr>
              <w:spacing w:line="360" w:lineRule="auto"/>
              <w:jc w:val="center"/>
              <w:rPr>
                <w:color w:val="000000" w:themeColor="text1"/>
                <w:szCs w:val="21"/>
                <w:highlight w:val="none"/>
                <w14:textFill>
                  <w14:solidFill>
                    <w14:schemeClr w14:val="tx1"/>
                  </w14:solidFill>
                </w14:textFill>
              </w:rPr>
            </w:pPr>
            <w:r>
              <w:rPr>
                <w:color w:val="000000" w:themeColor="text1"/>
                <w:sz w:val="24"/>
                <w:highlight w:val="none"/>
                <w14:textFill>
                  <w14:solidFill>
                    <w14:schemeClr w14:val="tx1"/>
                  </w14:solidFill>
                </w14:textFill>
              </w:rPr>
              <w:t>CC_CLB</w:t>
            </w:r>
          </w:p>
        </w:tc>
        <w:tc>
          <w:tcPr>
            <w:tcW w:w="1028" w:type="dxa"/>
            <w:noWrap w:val="0"/>
            <w:vAlign w:val="center"/>
          </w:tcPr>
          <w:p w14:paraId="356C3061">
            <w:pPr>
              <w:jc w:val="center"/>
              <w:rPr>
                <w:color w:val="000000" w:themeColor="text1"/>
                <w:szCs w:val="21"/>
                <w:highlight w:val="none"/>
                <w14:textFill>
                  <w14:solidFill>
                    <w14:schemeClr w14:val="tx1"/>
                  </w14:solidFill>
                </w14:textFill>
              </w:rPr>
            </w:pPr>
            <w:r>
              <w:rPr>
                <w:color w:val="000000" w:themeColor="text1"/>
                <w:sz w:val="24"/>
                <w:highlight w:val="none"/>
                <w14:textFill>
                  <w14:solidFill>
                    <w14:schemeClr w14:val="tx1"/>
                  </w14:solidFill>
                </w14:textFill>
              </w:rPr>
              <w:t>1</w:t>
            </w:r>
          </w:p>
        </w:tc>
        <w:tc>
          <w:tcPr>
            <w:tcW w:w="2136" w:type="dxa"/>
            <w:noWrap w:val="0"/>
            <w:vAlign w:val="center"/>
          </w:tcPr>
          <w:p w14:paraId="348C2A52">
            <w:pPr>
              <w:adjustRightInd w:val="0"/>
              <w:snapToGrid w:val="0"/>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签订合同后</w:t>
            </w:r>
            <w:r>
              <w:rPr>
                <w:rFonts w:hint="eastAsia"/>
                <w:color w:val="000000" w:themeColor="text1"/>
                <w:szCs w:val="21"/>
                <w:highlight w:val="none"/>
                <w14:textFill>
                  <w14:solidFill>
                    <w14:schemeClr w14:val="tx1"/>
                  </w14:solidFill>
                </w14:textFill>
              </w:rPr>
              <w:t>5.5</w:t>
            </w:r>
            <w:r>
              <w:rPr>
                <w:rFonts w:hint="eastAsia" w:ascii="宋体" w:hAnsi="宋体"/>
                <w:color w:val="000000" w:themeColor="text1"/>
                <w:szCs w:val="21"/>
                <w:highlight w:val="none"/>
                <w14:textFill>
                  <w14:solidFill>
                    <w14:schemeClr w14:val="tx1"/>
                  </w14:solidFill>
                </w14:textFill>
              </w:rPr>
              <w:t>个月</w:t>
            </w:r>
          </w:p>
        </w:tc>
      </w:tr>
      <w:tr w14:paraId="47DC5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804" w:type="dxa"/>
            <w:noWrap w:val="0"/>
            <w:vAlign w:val="center"/>
          </w:tcPr>
          <w:p w14:paraId="7AEF7B46">
            <w:pPr>
              <w:jc w:val="center"/>
              <w:rPr>
                <w:color w:val="000000" w:themeColor="text1"/>
                <w:szCs w:val="21"/>
                <w:highlight w:val="none"/>
                <w14:textFill>
                  <w14:solidFill>
                    <w14:schemeClr w14:val="tx1"/>
                  </w14:solidFill>
                </w14:textFill>
              </w:rPr>
            </w:pPr>
            <w:r>
              <w:rPr>
                <w:color w:val="000000" w:themeColor="text1"/>
                <w:sz w:val="24"/>
                <w:highlight w:val="none"/>
                <w14:textFill>
                  <w14:solidFill>
                    <w14:schemeClr w14:val="tx1"/>
                  </w14:solidFill>
                </w14:textFill>
              </w:rPr>
              <w:t>5</w:t>
            </w:r>
          </w:p>
        </w:tc>
        <w:tc>
          <w:tcPr>
            <w:tcW w:w="3112" w:type="dxa"/>
            <w:noWrap w:val="0"/>
            <w:vAlign w:val="center"/>
          </w:tcPr>
          <w:p w14:paraId="008EB8FB">
            <w:pPr>
              <w:spacing w:line="360" w:lineRule="auto"/>
              <w:jc w:val="center"/>
              <w:rPr>
                <w:color w:val="000000" w:themeColor="text1"/>
                <w:szCs w:val="21"/>
                <w:highlight w:val="none"/>
                <w14:textFill>
                  <w14:solidFill>
                    <w14:schemeClr w14:val="tx1"/>
                  </w14:solidFill>
                </w14:textFill>
              </w:rPr>
            </w:pPr>
            <w:r>
              <w:rPr>
                <w:color w:val="000000" w:themeColor="text1"/>
                <w:sz w:val="24"/>
                <w:highlight w:val="none"/>
                <w14:textFill>
                  <w14:solidFill>
                    <w14:schemeClr w14:val="tx1"/>
                  </w14:solidFill>
                </w14:textFill>
              </w:rPr>
              <w:t>CS6-10_CLB</w:t>
            </w:r>
          </w:p>
        </w:tc>
        <w:tc>
          <w:tcPr>
            <w:tcW w:w="1028" w:type="dxa"/>
            <w:noWrap w:val="0"/>
            <w:vAlign w:val="center"/>
          </w:tcPr>
          <w:p w14:paraId="37CD65B9">
            <w:pPr>
              <w:jc w:val="center"/>
              <w:rPr>
                <w:color w:val="000000" w:themeColor="text1"/>
                <w:szCs w:val="21"/>
                <w:highlight w:val="none"/>
                <w14:textFill>
                  <w14:solidFill>
                    <w14:schemeClr w14:val="tx1"/>
                  </w14:solidFill>
                </w14:textFill>
              </w:rPr>
            </w:pPr>
            <w:r>
              <w:rPr>
                <w:color w:val="000000" w:themeColor="text1"/>
                <w:sz w:val="24"/>
                <w:highlight w:val="none"/>
                <w14:textFill>
                  <w14:solidFill>
                    <w14:schemeClr w14:val="tx1"/>
                  </w14:solidFill>
                </w14:textFill>
              </w:rPr>
              <w:t>1</w:t>
            </w:r>
          </w:p>
        </w:tc>
        <w:tc>
          <w:tcPr>
            <w:tcW w:w="2136" w:type="dxa"/>
            <w:noWrap w:val="0"/>
            <w:vAlign w:val="center"/>
          </w:tcPr>
          <w:p w14:paraId="5E82A3F7">
            <w:pPr>
              <w:adjustRightInd w:val="0"/>
              <w:snapToGrid w:val="0"/>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签订合同后</w:t>
            </w:r>
            <w:r>
              <w:rPr>
                <w:rFonts w:hint="eastAsia"/>
                <w:color w:val="000000" w:themeColor="text1"/>
                <w:szCs w:val="21"/>
                <w:highlight w:val="none"/>
                <w14:textFill>
                  <w14:solidFill>
                    <w14:schemeClr w14:val="tx1"/>
                  </w14:solidFill>
                </w14:textFill>
              </w:rPr>
              <w:t>6</w:t>
            </w:r>
            <w:r>
              <w:rPr>
                <w:rFonts w:hint="eastAsia" w:ascii="宋体" w:hAnsi="宋体"/>
                <w:color w:val="000000" w:themeColor="text1"/>
                <w:szCs w:val="21"/>
                <w:highlight w:val="none"/>
                <w14:textFill>
                  <w14:solidFill>
                    <w14:schemeClr w14:val="tx1"/>
                  </w14:solidFill>
                </w14:textFill>
              </w:rPr>
              <w:t>个月</w:t>
            </w:r>
          </w:p>
        </w:tc>
      </w:tr>
      <w:tr w14:paraId="56AEC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804" w:type="dxa"/>
            <w:noWrap w:val="0"/>
            <w:vAlign w:val="center"/>
          </w:tcPr>
          <w:p w14:paraId="33C61B8C">
            <w:pPr>
              <w:jc w:val="center"/>
              <w:rPr>
                <w:color w:val="000000" w:themeColor="text1"/>
                <w:szCs w:val="21"/>
                <w:highlight w:val="none"/>
                <w14:textFill>
                  <w14:solidFill>
                    <w14:schemeClr w14:val="tx1"/>
                  </w14:solidFill>
                </w14:textFill>
              </w:rPr>
            </w:pPr>
            <w:r>
              <w:rPr>
                <w:color w:val="000000" w:themeColor="text1"/>
                <w:sz w:val="24"/>
                <w:highlight w:val="none"/>
                <w14:textFill>
                  <w14:solidFill>
                    <w14:schemeClr w14:val="tx1"/>
                  </w14:solidFill>
                </w14:textFill>
              </w:rPr>
              <w:t>6</w:t>
            </w:r>
          </w:p>
        </w:tc>
        <w:tc>
          <w:tcPr>
            <w:tcW w:w="3112" w:type="dxa"/>
            <w:noWrap w:val="0"/>
            <w:vAlign w:val="center"/>
          </w:tcPr>
          <w:p w14:paraId="4FA273B6">
            <w:pPr>
              <w:spacing w:line="360" w:lineRule="auto"/>
              <w:jc w:val="center"/>
              <w:rPr>
                <w:color w:val="000000" w:themeColor="text1"/>
                <w:szCs w:val="21"/>
                <w:highlight w:val="none"/>
                <w14:textFill>
                  <w14:solidFill>
                    <w14:schemeClr w14:val="tx1"/>
                  </w14:solidFill>
                </w14:textFill>
              </w:rPr>
            </w:pPr>
            <w:r>
              <w:rPr>
                <w:color w:val="000000" w:themeColor="text1"/>
                <w:sz w:val="24"/>
                <w:highlight w:val="none"/>
                <w14:textFill>
                  <w14:solidFill>
                    <w14:schemeClr w14:val="tx1"/>
                  </w14:solidFill>
                </w14:textFill>
              </w:rPr>
              <w:t>PF1-3&amp;CS5_CLB</w:t>
            </w:r>
          </w:p>
        </w:tc>
        <w:tc>
          <w:tcPr>
            <w:tcW w:w="1028" w:type="dxa"/>
            <w:noWrap w:val="0"/>
            <w:vAlign w:val="center"/>
          </w:tcPr>
          <w:p w14:paraId="1AF77092">
            <w:pPr>
              <w:jc w:val="center"/>
              <w:rPr>
                <w:color w:val="000000" w:themeColor="text1"/>
                <w:szCs w:val="21"/>
                <w:highlight w:val="none"/>
                <w14:textFill>
                  <w14:solidFill>
                    <w14:schemeClr w14:val="tx1"/>
                  </w14:solidFill>
                </w14:textFill>
              </w:rPr>
            </w:pPr>
            <w:r>
              <w:rPr>
                <w:color w:val="000000" w:themeColor="text1"/>
                <w:sz w:val="24"/>
                <w:highlight w:val="none"/>
                <w14:textFill>
                  <w14:solidFill>
                    <w14:schemeClr w14:val="tx1"/>
                  </w14:solidFill>
                </w14:textFill>
              </w:rPr>
              <w:t>1</w:t>
            </w:r>
          </w:p>
        </w:tc>
        <w:tc>
          <w:tcPr>
            <w:tcW w:w="2136" w:type="dxa"/>
            <w:noWrap w:val="0"/>
            <w:vAlign w:val="center"/>
          </w:tcPr>
          <w:p w14:paraId="694DF903">
            <w:pPr>
              <w:adjustRightInd w:val="0"/>
              <w:snapToGrid w:val="0"/>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签订合同后</w:t>
            </w:r>
            <w:r>
              <w:rPr>
                <w:rFonts w:hint="eastAsia"/>
                <w:color w:val="000000" w:themeColor="text1"/>
                <w:szCs w:val="21"/>
                <w:highlight w:val="none"/>
                <w14:textFill>
                  <w14:solidFill>
                    <w14:schemeClr w14:val="tx1"/>
                  </w14:solidFill>
                </w14:textFill>
              </w:rPr>
              <w:t>7</w:t>
            </w:r>
            <w:r>
              <w:rPr>
                <w:rFonts w:hint="eastAsia" w:ascii="宋体" w:hAnsi="宋体"/>
                <w:color w:val="000000" w:themeColor="text1"/>
                <w:szCs w:val="21"/>
                <w:highlight w:val="none"/>
                <w14:textFill>
                  <w14:solidFill>
                    <w14:schemeClr w14:val="tx1"/>
                  </w14:solidFill>
                </w14:textFill>
              </w:rPr>
              <w:t>个月</w:t>
            </w:r>
          </w:p>
        </w:tc>
      </w:tr>
      <w:tr w14:paraId="514DF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804" w:type="dxa"/>
            <w:noWrap w:val="0"/>
            <w:vAlign w:val="center"/>
          </w:tcPr>
          <w:p w14:paraId="64907D94">
            <w:pPr>
              <w:jc w:val="center"/>
              <w:rPr>
                <w:color w:val="000000" w:themeColor="text1"/>
                <w:szCs w:val="21"/>
                <w:highlight w:val="none"/>
                <w14:textFill>
                  <w14:solidFill>
                    <w14:schemeClr w14:val="tx1"/>
                  </w14:solidFill>
                </w14:textFill>
              </w:rPr>
            </w:pPr>
            <w:r>
              <w:rPr>
                <w:color w:val="000000" w:themeColor="text1"/>
                <w:sz w:val="24"/>
                <w:highlight w:val="none"/>
                <w14:textFill>
                  <w14:solidFill>
                    <w14:schemeClr w14:val="tx1"/>
                  </w14:solidFill>
                </w14:textFill>
              </w:rPr>
              <w:t>7</w:t>
            </w:r>
          </w:p>
        </w:tc>
        <w:tc>
          <w:tcPr>
            <w:tcW w:w="3112" w:type="dxa"/>
            <w:noWrap w:val="0"/>
            <w:vAlign w:val="center"/>
          </w:tcPr>
          <w:p w14:paraId="2969561A">
            <w:pPr>
              <w:spacing w:line="360" w:lineRule="auto"/>
              <w:jc w:val="center"/>
              <w:rPr>
                <w:color w:val="000000" w:themeColor="text1"/>
                <w:szCs w:val="21"/>
                <w:highlight w:val="none"/>
                <w14:textFill>
                  <w14:solidFill>
                    <w14:schemeClr w14:val="tx1"/>
                  </w14:solidFill>
                </w14:textFill>
              </w:rPr>
            </w:pPr>
            <w:r>
              <w:rPr>
                <w:color w:val="000000" w:themeColor="text1"/>
                <w:sz w:val="24"/>
                <w:highlight w:val="none"/>
                <w14:textFill>
                  <w14:solidFill>
                    <w14:schemeClr w14:val="tx1"/>
                  </w14:solidFill>
                </w14:textFill>
              </w:rPr>
              <w:t>CS1-4_CLB</w:t>
            </w:r>
          </w:p>
        </w:tc>
        <w:tc>
          <w:tcPr>
            <w:tcW w:w="1028" w:type="dxa"/>
            <w:noWrap w:val="0"/>
            <w:vAlign w:val="center"/>
          </w:tcPr>
          <w:p w14:paraId="195C6527">
            <w:pPr>
              <w:jc w:val="center"/>
              <w:rPr>
                <w:color w:val="000000" w:themeColor="text1"/>
                <w:szCs w:val="21"/>
                <w:highlight w:val="none"/>
                <w14:textFill>
                  <w14:solidFill>
                    <w14:schemeClr w14:val="tx1"/>
                  </w14:solidFill>
                </w14:textFill>
              </w:rPr>
            </w:pPr>
            <w:r>
              <w:rPr>
                <w:color w:val="000000" w:themeColor="text1"/>
                <w:sz w:val="24"/>
                <w:highlight w:val="none"/>
                <w14:textFill>
                  <w14:solidFill>
                    <w14:schemeClr w14:val="tx1"/>
                  </w14:solidFill>
                </w14:textFill>
              </w:rPr>
              <w:t>1</w:t>
            </w:r>
          </w:p>
        </w:tc>
        <w:tc>
          <w:tcPr>
            <w:tcW w:w="2136" w:type="dxa"/>
            <w:noWrap w:val="0"/>
            <w:vAlign w:val="center"/>
          </w:tcPr>
          <w:p w14:paraId="779B6C61">
            <w:pPr>
              <w:adjustRightInd w:val="0"/>
              <w:snapToGrid w:val="0"/>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签订合同后</w:t>
            </w:r>
            <w:r>
              <w:rPr>
                <w:rFonts w:hint="eastAsia"/>
                <w:color w:val="000000" w:themeColor="text1"/>
                <w:szCs w:val="21"/>
                <w:highlight w:val="none"/>
                <w14:textFill>
                  <w14:solidFill>
                    <w14:schemeClr w14:val="tx1"/>
                  </w14:solidFill>
                </w14:textFill>
              </w:rPr>
              <w:t>8</w:t>
            </w:r>
            <w:r>
              <w:rPr>
                <w:rFonts w:hint="eastAsia" w:ascii="宋体" w:hAnsi="宋体"/>
                <w:color w:val="000000" w:themeColor="text1"/>
                <w:szCs w:val="21"/>
                <w:highlight w:val="none"/>
                <w14:textFill>
                  <w14:solidFill>
                    <w14:schemeClr w14:val="tx1"/>
                  </w14:solidFill>
                </w14:textFill>
              </w:rPr>
              <w:t>个月</w:t>
            </w:r>
          </w:p>
        </w:tc>
      </w:tr>
    </w:tbl>
    <w:p w14:paraId="61EB7C7C">
      <w:pPr>
        <w:adjustRightInd w:val="0"/>
        <w:snapToGrid w:val="0"/>
        <w:spacing w:line="360" w:lineRule="auto"/>
        <w:ind w:firstLine="482" w:firstLineChars="200"/>
        <w:rPr>
          <w:rFonts w:hint="eastAsia"/>
          <w:b/>
          <w:color w:val="000000" w:themeColor="text1"/>
          <w:sz w:val="24"/>
          <w:highlight w:val="none"/>
          <w14:textFill>
            <w14:solidFill>
              <w14:schemeClr w14:val="tx1"/>
            </w14:solidFill>
          </w14:textFill>
        </w:rPr>
      </w:pPr>
      <w:bookmarkStart w:id="0" w:name="_Toc509153917"/>
      <w:bookmarkStart w:id="1" w:name="_Toc12010815"/>
      <w:bookmarkStart w:id="2" w:name="_Toc12010788"/>
      <w:bookmarkStart w:id="3" w:name="_Toc30409514"/>
      <w:bookmarkStart w:id="4" w:name="_Toc257021215"/>
      <w:bookmarkStart w:id="5" w:name="_Toc532807472"/>
    </w:p>
    <w:p w14:paraId="45CEA0CE">
      <w:pPr>
        <w:adjustRightInd w:val="0"/>
        <w:snapToGrid w:val="0"/>
        <w:spacing w:before="120" w:beforeLines="50" w:line="360" w:lineRule="auto"/>
        <w:rPr>
          <w:rFonts w:hint="eastAsia"/>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2</w:t>
      </w:r>
      <w:r>
        <w:rPr>
          <w:rFonts w:hint="eastAsia"/>
          <w:b/>
          <w:color w:val="000000" w:themeColor="text1"/>
          <w:sz w:val="24"/>
          <w:highlight w:val="none"/>
          <w14:textFill>
            <w14:solidFill>
              <w14:schemeClr w14:val="tx1"/>
            </w14:solidFill>
          </w14:textFill>
        </w:rPr>
        <w:t>、</w:t>
      </w:r>
      <w:r>
        <w:rPr>
          <w:b/>
          <w:color w:val="000000" w:themeColor="text1"/>
          <w:sz w:val="24"/>
          <w:highlight w:val="none"/>
          <w14:textFill>
            <w14:solidFill>
              <w14:schemeClr w14:val="tx1"/>
            </w14:solidFill>
          </w14:textFill>
        </w:rPr>
        <w:t>工程技术要求</w:t>
      </w:r>
      <w:bookmarkEnd w:id="0"/>
      <w:bookmarkEnd w:id="1"/>
      <w:bookmarkEnd w:id="2"/>
      <w:bookmarkEnd w:id="3"/>
      <w:bookmarkEnd w:id="4"/>
      <w:bookmarkEnd w:id="5"/>
    </w:p>
    <w:p w14:paraId="2120F241">
      <w:pPr>
        <w:adjustRightInd w:val="0"/>
        <w:snapToGrid w:val="0"/>
        <w:spacing w:before="120" w:beforeLines="50" w:line="360" w:lineRule="auto"/>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2.</w:t>
      </w:r>
      <w:r>
        <w:rPr>
          <w:rFonts w:hint="eastAsia"/>
          <w:b/>
          <w:color w:val="000000" w:themeColor="text1"/>
          <w:sz w:val="24"/>
          <w:highlight w:val="none"/>
          <w14:textFill>
            <w14:solidFill>
              <w14:schemeClr w14:val="tx1"/>
            </w14:solidFill>
          </w14:textFill>
        </w:rPr>
        <w:t>1、</w:t>
      </w:r>
      <w:r>
        <w:rPr>
          <w:b/>
          <w:color w:val="000000" w:themeColor="text1"/>
          <w:sz w:val="24"/>
          <w:highlight w:val="none"/>
          <w14:textFill>
            <w14:solidFill>
              <w14:schemeClr w14:val="tx1"/>
            </w14:solidFill>
          </w14:textFill>
        </w:rPr>
        <w:t>设备的主要用途及功能</w:t>
      </w:r>
    </w:p>
    <w:p w14:paraId="2AFEA1B9">
      <w:pPr>
        <w:pStyle w:val="5"/>
        <w:spacing w:line="360" w:lineRule="auto"/>
        <w:ind w:right="40" w:rightChars="19" w:firstLine="480"/>
        <w:rPr>
          <w:rFonts w:hint="eastAsia" w:ascii="宋体" w:hAnsi="宋体" w:cs="宋体"/>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BEST FEEDER</w:t>
      </w:r>
      <w:r>
        <w:rPr>
          <w:rFonts w:hint="eastAsia" w:ascii="宋体" w:hAnsi="宋体" w:cs="宋体"/>
          <w:bCs/>
          <w:color w:val="000000" w:themeColor="text1"/>
          <w:szCs w:val="21"/>
          <w:highlight w:val="none"/>
          <w14:textFill>
            <w14:solidFill>
              <w14:schemeClr w14:val="tx1"/>
            </w14:solidFill>
          </w14:textFill>
        </w:rPr>
        <w:t>馈线系统主要为</w:t>
      </w:r>
      <w:r>
        <w:rPr>
          <w:bCs/>
          <w:color w:val="000000" w:themeColor="text1"/>
          <w:szCs w:val="21"/>
          <w:highlight w:val="none"/>
          <w14:textFill>
            <w14:solidFill>
              <w14:schemeClr w14:val="tx1"/>
            </w14:solidFill>
          </w14:textFill>
        </w:rPr>
        <w:t>BEST</w:t>
      </w:r>
      <w:r>
        <w:rPr>
          <w:rFonts w:hint="eastAsia" w:ascii="宋体" w:hAnsi="宋体" w:cs="宋体"/>
          <w:bCs/>
          <w:color w:val="000000" w:themeColor="text1"/>
          <w:szCs w:val="21"/>
          <w:highlight w:val="none"/>
          <w14:textFill>
            <w14:solidFill>
              <w14:schemeClr w14:val="tx1"/>
            </w14:solidFill>
          </w14:textFill>
        </w:rPr>
        <w:t>超导磁体提供电源、诊断，是保证整个</w:t>
      </w:r>
      <w:r>
        <w:rPr>
          <w:bCs/>
          <w:color w:val="000000" w:themeColor="text1"/>
          <w:szCs w:val="21"/>
          <w:highlight w:val="none"/>
          <w14:textFill>
            <w14:solidFill>
              <w14:schemeClr w14:val="tx1"/>
            </w14:solidFill>
          </w14:textFill>
        </w:rPr>
        <w:t>BEST</w:t>
      </w:r>
      <w:r>
        <w:rPr>
          <w:rFonts w:hint="eastAsia" w:ascii="宋体" w:hAnsi="宋体" w:cs="宋体"/>
          <w:bCs/>
          <w:color w:val="000000" w:themeColor="text1"/>
          <w:szCs w:val="21"/>
          <w:highlight w:val="none"/>
          <w14:textFill>
            <w14:solidFill>
              <w14:schemeClr w14:val="tx1"/>
            </w14:solidFill>
          </w14:textFill>
        </w:rPr>
        <w:t>磁体系统能正常运行的生命线，其中</w:t>
      </w:r>
      <w:r>
        <w:rPr>
          <w:rFonts w:hint="eastAsia"/>
          <w:color w:val="000000" w:themeColor="text1"/>
          <w:szCs w:val="32"/>
          <w:highlight w:val="none"/>
          <w14:textFill>
            <w14:solidFill>
              <w14:schemeClr w14:val="tx1"/>
            </w14:solidFill>
          </w14:textFill>
        </w:rPr>
        <w:t>电流引线罐（CLB）作为馈线系统中重要的组成部件，高温超导电流引线和部分低温管路安装在罐体上，是磁体馈线系统提供电能，冷却介质和高真空腔体结构的重要组成部分，其安装在馈线系统的最远端，和过渡馈线（</w:t>
      </w:r>
      <w:r>
        <w:rPr>
          <w:color w:val="000000" w:themeColor="text1"/>
          <w:szCs w:val="32"/>
          <w:highlight w:val="none"/>
          <w14:textFill>
            <w14:solidFill>
              <w14:schemeClr w14:val="tx1"/>
            </w14:solidFill>
          </w14:textFill>
        </w:rPr>
        <w:t>CFT</w:t>
      </w:r>
      <w:r>
        <w:rPr>
          <w:rFonts w:hint="eastAsia"/>
          <w:color w:val="000000" w:themeColor="text1"/>
          <w:szCs w:val="32"/>
          <w:highlight w:val="none"/>
          <w14:textFill>
            <w14:solidFill>
              <w14:schemeClr w14:val="tx1"/>
            </w14:solidFill>
          </w14:textFill>
        </w:rPr>
        <w:t>），内馈线（</w:t>
      </w:r>
      <w:r>
        <w:rPr>
          <w:color w:val="000000" w:themeColor="text1"/>
          <w:szCs w:val="32"/>
          <w:highlight w:val="none"/>
          <w14:textFill>
            <w14:solidFill>
              <w14:schemeClr w14:val="tx1"/>
            </w14:solidFill>
          </w14:textFill>
        </w:rPr>
        <w:t>ICF</w:t>
      </w:r>
      <w:r>
        <w:rPr>
          <w:rFonts w:hint="eastAsia"/>
          <w:color w:val="000000" w:themeColor="text1"/>
          <w:szCs w:val="32"/>
          <w:highlight w:val="none"/>
          <w14:textFill>
            <w14:solidFill>
              <w14:schemeClr w14:val="tx1"/>
            </w14:solidFill>
          </w14:textFill>
        </w:rPr>
        <w:t>）一起组成整个BEST馈线系统</w:t>
      </w:r>
      <w:r>
        <w:rPr>
          <w:rFonts w:hint="eastAsia" w:ascii="宋体" w:hAnsi="宋体" w:cs="宋体"/>
          <w:bCs/>
          <w:color w:val="000000" w:themeColor="text1"/>
          <w:szCs w:val="21"/>
          <w:highlight w:val="none"/>
          <w14:textFill>
            <w14:solidFill>
              <w14:schemeClr w14:val="tx1"/>
            </w14:solidFill>
          </w14:textFill>
        </w:rPr>
        <w:t>，合计共</w:t>
      </w:r>
      <w:r>
        <w:rPr>
          <w:bCs/>
          <w:color w:val="000000" w:themeColor="text1"/>
          <w:szCs w:val="21"/>
          <w:highlight w:val="none"/>
          <w14:textFill>
            <w14:solidFill>
              <w14:schemeClr w14:val="tx1"/>
            </w14:solidFill>
          </w14:textFill>
        </w:rPr>
        <w:t>4</w:t>
      </w:r>
      <w:r>
        <w:rPr>
          <w:rFonts w:hint="eastAsia" w:ascii="宋体" w:hAnsi="宋体" w:cs="宋体"/>
          <w:bCs/>
          <w:color w:val="000000" w:themeColor="text1"/>
          <w:szCs w:val="21"/>
          <w:highlight w:val="none"/>
          <w14:textFill>
            <w14:solidFill>
              <w14:schemeClr w14:val="tx1"/>
            </w14:solidFill>
          </w14:textFill>
        </w:rPr>
        <w:t>种类型（其中</w:t>
      </w:r>
      <w:r>
        <w:rPr>
          <w:bCs/>
          <w:color w:val="000000" w:themeColor="text1"/>
          <w:szCs w:val="21"/>
          <w:highlight w:val="none"/>
          <w14:textFill>
            <w14:solidFill>
              <w14:schemeClr w14:val="tx1"/>
            </w14:solidFill>
          </w14:textFill>
        </w:rPr>
        <w:t>TF1-8_CLB /TF9-16_CLB /PF4-7_CLB /PF1-3&amp;CS5_CLB</w:t>
      </w:r>
      <w:r>
        <w:rPr>
          <w:rFonts w:hint="eastAsia" w:ascii="宋体" w:hAnsi="宋体" w:cs="宋体"/>
          <w:bCs/>
          <w:color w:val="000000" w:themeColor="text1"/>
          <w:szCs w:val="21"/>
          <w:highlight w:val="none"/>
          <w14:textFill>
            <w14:solidFill>
              <w14:schemeClr w14:val="tx1"/>
            </w14:solidFill>
          </w14:textFill>
        </w:rPr>
        <w:t>相同，统一属于</w:t>
      </w:r>
      <w:r>
        <w:rPr>
          <w:bCs/>
          <w:color w:val="000000" w:themeColor="text1"/>
          <w:szCs w:val="21"/>
          <w:highlight w:val="none"/>
          <w14:textFill>
            <w14:solidFill>
              <w14:schemeClr w14:val="tx1"/>
            </w14:solidFill>
          </w14:textFill>
        </w:rPr>
        <w:t>TF&amp;PF&amp;CS_CLB</w:t>
      </w:r>
      <w:r>
        <w:rPr>
          <w:rFonts w:hint="eastAsia" w:ascii="宋体" w:hAnsi="宋体" w:cs="宋体"/>
          <w:bCs/>
          <w:color w:val="000000" w:themeColor="text1"/>
          <w:szCs w:val="21"/>
          <w:highlight w:val="none"/>
          <w14:textFill>
            <w14:solidFill>
              <w14:schemeClr w14:val="tx1"/>
            </w14:solidFill>
          </w14:textFill>
        </w:rPr>
        <w:t>系列），总数</w:t>
      </w:r>
      <w:r>
        <w:rPr>
          <w:bCs/>
          <w:color w:val="000000" w:themeColor="text1"/>
          <w:szCs w:val="21"/>
          <w:highlight w:val="none"/>
          <w14:textFill>
            <w14:solidFill>
              <w14:schemeClr w14:val="tx1"/>
            </w14:solidFill>
          </w14:textFill>
        </w:rPr>
        <w:t>7</w:t>
      </w:r>
      <w:r>
        <w:rPr>
          <w:rFonts w:hint="eastAsia" w:ascii="宋体" w:hAnsi="宋体" w:cs="宋体"/>
          <w:bCs/>
          <w:color w:val="000000" w:themeColor="text1"/>
          <w:szCs w:val="21"/>
          <w:highlight w:val="none"/>
          <w14:textFill>
            <w14:solidFill>
              <w14:schemeClr w14:val="tx1"/>
            </w14:solidFill>
          </w14:textFill>
        </w:rPr>
        <w:t>套，</w:t>
      </w:r>
      <w:r>
        <w:rPr>
          <w:rFonts w:hint="eastAsia"/>
          <w:color w:val="000000" w:themeColor="text1"/>
          <w:szCs w:val="32"/>
          <w:highlight w:val="none"/>
          <w14:textFill>
            <w14:solidFill>
              <w14:schemeClr w14:val="tx1"/>
            </w14:solidFill>
          </w14:textFill>
        </w:rPr>
        <w:t>分别布置位于BEST安装建筑物的B2和L2层。</w:t>
      </w:r>
    </w:p>
    <w:p w14:paraId="6321A543">
      <w:pPr>
        <w:adjustRightInd w:val="0"/>
        <w:snapToGrid w:val="0"/>
        <w:spacing w:before="120" w:beforeLines="50" w:line="360" w:lineRule="auto"/>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2.3</w:t>
      </w:r>
      <w:r>
        <w:rPr>
          <w:rFonts w:hint="eastAsia"/>
          <w:b/>
          <w:color w:val="000000" w:themeColor="text1"/>
          <w:sz w:val="24"/>
          <w:highlight w:val="none"/>
          <w14:textFill>
            <w14:solidFill>
              <w14:schemeClr w14:val="tx1"/>
            </w14:solidFill>
          </w14:textFill>
        </w:rPr>
        <w:t xml:space="preserve">、 </w:t>
      </w:r>
      <w:r>
        <w:rPr>
          <w:b/>
          <w:color w:val="000000" w:themeColor="text1"/>
          <w:sz w:val="24"/>
          <w:highlight w:val="none"/>
          <w14:textFill>
            <w14:solidFill>
              <w14:schemeClr w14:val="tx1"/>
            </w14:solidFill>
          </w14:textFill>
        </w:rPr>
        <w:t>工作条件</w:t>
      </w:r>
    </w:p>
    <w:p w14:paraId="08CDB112">
      <w:pPr>
        <w:pStyle w:val="5"/>
        <w:spacing w:line="360" w:lineRule="auto"/>
        <w:ind w:right="40" w:rightChars="19" w:firstLine="480"/>
        <w:rPr>
          <w:b/>
          <w:color w:val="000000" w:themeColor="text1"/>
          <w:sz w:val="24"/>
          <w:highlight w:val="none"/>
          <w14:textFill>
            <w14:solidFill>
              <w14:schemeClr w14:val="tx1"/>
            </w14:solidFill>
          </w14:textFill>
        </w:rPr>
      </w:pPr>
      <w:r>
        <w:rPr>
          <w:bCs/>
          <w:color w:val="000000" w:themeColor="text1"/>
          <w:szCs w:val="21"/>
          <w:highlight w:val="none"/>
          <w14:textFill>
            <w14:solidFill>
              <w14:schemeClr w14:val="tx1"/>
            </w14:solidFill>
          </w14:textFill>
        </w:rPr>
        <w:t>BEST FEEDER CLB</w:t>
      </w:r>
      <w:r>
        <w:rPr>
          <w:rFonts w:hint="eastAsia" w:ascii="宋体" w:hAnsi="宋体" w:cs="宋体"/>
          <w:bCs/>
          <w:color w:val="000000" w:themeColor="text1"/>
          <w:szCs w:val="21"/>
          <w:highlight w:val="none"/>
          <w14:textFill>
            <w14:solidFill>
              <w14:schemeClr w14:val="tx1"/>
            </w14:solidFill>
          </w14:textFill>
        </w:rPr>
        <w:t>正常低温工况下，</w:t>
      </w:r>
      <w:r>
        <w:rPr>
          <w:bCs/>
          <w:color w:val="000000" w:themeColor="text1"/>
          <w:szCs w:val="21"/>
          <w:highlight w:val="none"/>
          <w14:textFill>
            <w14:solidFill>
              <w14:schemeClr w14:val="tx1"/>
            </w14:solidFill>
          </w14:textFill>
        </w:rPr>
        <w:t>CLB</w:t>
      </w:r>
      <w:r>
        <w:rPr>
          <w:rFonts w:hint="eastAsia" w:ascii="宋体" w:hAnsi="宋体" w:cs="宋体"/>
          <w:bCs/>
          <w:color w:val="000000" w:themeColor="text1"/>
          <w:szCs w:val="21"/>
          <w:highlight w:val="none"/>
          <w14:textFill>
            <w14:solidFill>
              <w14:schemeClr w14:val="tx1"/>
            </w14:solidFill>
          </w14:textFill>
        </w:rPr>
        <w:t>整体真空度要求</w:t>
      </w:r>
      <w:r>
        <w:rPr>
          <w:color w:val="000000" w:themeColor="text1"/>
          <w:highlight w:val="none"/>
          <w14:textFill>
            <w14:solidFill>
              <w14:schemeClr w14:val="tx1"/>
            </w14:solidFill>
          </w14:textFill>
        </w:rPr>
        <w:t>≤1.0x10</w:t>
      </w:r>
      <w:r>
        <w:rPr>
          <w:color w:val="000000" w:themeColor="text1"/>
          <w:highlight w:val="none"/>
          <w:vertAlign w:val="superscript"/>
          <w14:textFill>
            <w14:solidFill>
              <w14:schemeClr w14:val="tx1"/>
            </w14:solidFill>
          </w14:textFill>
        </w:rPr>
        <w:t xml:space="preserve">-3 </w:t>
      </w:r>
      <w:r>
        <w:rPr>
          <w:color w:val="000000" w:themeColor="text1"/>
          <w:highlight w:val="none"/>
          <w14:textFill>
            <w14:solidFill>
              <w14:schemeClr w14:val="tx1"/>
            </w14:solidFill>
          </w14:textFill>
        </w:rPr>
        <w:t>Pa</w:t>
      </w:r>
      <w:r>
        <w:rPr>
          <w:rFonts w:hint="eastAsia"/>
          <w:color w:val="000000" w:themeColor="text1"/>
          <w:highlight w:val="none"/>
          <w14:textFill>
            <w14:solidFill>
              <w14:schemeClr w14:val="tx1"/>
            </w14:solidFill>
          </w14:textFill>
        </w:rPr>
        <w:t>，整体漏率：</w:t>
      </w:r>
      <w:r>
        <w:rPr>
          <w:color w:val="000000" w:themeColor="text1"/>
          <w:highlight w:val="none"/>
          <w14:textFill>
            <w14:solidFill>
              <w14:schemeClr w14:val="tx1"/>
            </w14:solidFill>
          </w14:textFill>
        </w:rPr>
        <w:t>&lt;1.0x10</w:t>
      </w:r>
      <w:r>
        <w:rPr>
          <w:color w:val="000000" w:themeColor="text1"/>
          <w:highlight w:val="none"/>
          <w:vertAlign w:val="superscript"/>
          <w14:textFill>
            <w14:solidFill>
              <w14:schemeClr w14:val="tx1"/>
            </w14:solidFill>
          </w14:textFill>
        </w:rPr>
        <w:t xml:space="preserve">-7 </w:t>
      </w:r>
      <w:r>
        <w:rPr>
          <w:color w:val="000000" w:themeColor="text1"/>
          <w:highlight w:val="none"/>
          <w14:textFill>
            <w14:solidFill>
              <w14:schemeClr w14:val="tx1"/>
            </w14:solidFill>
          </w14:textFill>
        </w:rPr>
        <w:t>Pa.m</w:t>
      </w:r>
      <w:r>
        <w:rPr>
          <w:color w:val="000000" w:themeColor="text1"/>
          <w:highlight w:val="none"/>
          <w:vertAlign w:val="superscript"/>
          <w14:textFill>
            <w14:solidFill>
              <w14:schemeClr w14:val="tx1"/>
            </w14:solidFill>
          </w14:textFill>
        </w:rPr>
        <w:t>3</w:t>
      </w:r>
      <w:r>
        <w:rPr>
          <w:color w:val="000000" w:themeColor="text1"/>
          <w:highlight w:val="none"/>
          <w14:textFill>
            <w14:solidFill>
              <w14:schemeClr w14:val="tx1"/>
            </w14:solidFill>
          </w14:textFill>
        </w:rPr>
        <w:t>/s</w:t>
      </w:r>
      <w:r>
        <w:rPr>
          <w:rFonts w:hint="eastAsia"/>
          <w:color w:val="000000" w:themeColor="text1"/>
          <w:szCs w:val="32"/>
          <w:highlight w:val="none"/>
          <w14:textFill>
            <w14:solidFill>
              <w14:schemeClr w14:val="tx1"/>
            </w14:solidFill>
          </w14:textFill>
        </w:rPr>
        <w:t>。安装的各类低温阀门，温度计和流量计等应测试无异常，以便满足低温工况，以及在失超异常条件下产生的低温气体能通过失超阀和各类安全阀门进行泄放回收；内部高压超导部件的绝缘部件及其绝缘处理等级应满足图纸设计要求；对应的接地保护应满足甲方提供的接地方案要求。</w:t>
      </w:r>
    </w:p>
    <w:p w14:paraId="1447480B">
      <w:pPr>
        <w:adjustRightInd w:val="0"/>
        <w:snapToGrid w:val="0"/>
        <w:spacing w:before="120" w:beforeLines="50" w:line="360" w:lineRule="auto"/>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2.4</w:t>
      </w:r>
      <w:r>
        <w:rPr>
          <w:rFonts w:hint="eastAsia"/>
          <w:b/>
          <w:color w:val="000000" w:themeColor="text1"/>
          <w:sz w:val="24"/>
          <w:highlight w:val="none"/>
          <w14:textFill>
            <w14:solidFill>
              <w14:schemeClr w14:val="tx1"/>
            </w14:solidFill>
          </w14:textFill>
        </w:rPr>
        <w:t>、</w:t>
      </w:r>
      <w:r>
        <w:rPr>
          <w:b/>
          <w:color w:val="000000" w:themeColor="text1"/>
          <w:sz w:val="24"/>
          <w:highlight w:val="none"/>
          <w14:textFill>
            <w14:solidFill>
              <w14:schemeClr w14:val="tx1"/>
            </w14:solidFill>
          </w14:textFill>
        </w:rPr>
        <w:t xml:space="preserve"> 技术性能指标要求</w:t>
      </w:r>
    </w:p>
    <w:p w14:paraId="2DCD97E8">
      <w:pPr>
        <w:pStyle w:val="5"/>
        <w:spacing w:line="360" w:lineRule="auto"/>
        <w:ind w:right="40" w:rightChars="19" w:firstLine="480"/>
        <w:rPr>
          <w:color w:val="000000" w:themeColor="text1"/>
          <w:szCs w:val="32"/>
          <w:highlight w:val="none"/>
          <w14:textFill>
            <w14:solidFill>
              <w14:schemeClr w14:val="tx1"/>
            </w14:solidFill>
          </w14:textFill>
        </w:rPr>
      </w:pPr>
      <w:r>
        <w:rPr>
          <w:rFonts w:hint="eastAsia"/>
          <w:color w:val="000000" w:themeColor="text1"/>
          <w:szCs w:val="32"/>
          <w:highlight w:val="none"/>
          <w14:textFill>
            <w14:solidFill>
              <w14:schemeClr w14:val="tx1"/>
            </w14:solidFill>
          </w14:textFill>
        </w:rPr>
        <w:t>BEST FEEDER 电流引线罐（CLB）内部部件制造及总装要求严格遵照规定的质量程序与技术规范执行，各零部件加工达到图纸尺寸公差与技术要求；所有氩弧焊、钎焊、锡焊与无损检测依据文件图纸相关标准执行，达到图纸质量等级；组件达到图纸的形位公差要求。电流引线罐（CLB）总装集成包含关键部件：真空外壳体，</w:t>
      </w:r>
      <w:r>
        <w:rPr>
          <w:color w:val="000000" w:themeColor="text1"/>
          <w:szCs w:val="32"/>
          <w:highlight w:val="none"/>
          <w14:textFill>
            <w14:solidFill>
              <w14:schemeClr w14:val="tx1"/>
            </w14:solidFill>
          </w14:textFill>
        </w:rPr>
        <w:t>80K</w:t>
      </w:r>
      <w:r>
        <w:rPr>
          <w:rFonts w:hint="eastAsia"/>
          <w:color w:val="000000" w:themeColor="text1"/>
          <w:szCs w:val="32"/>
          <w:highlight w:val="none"/>
          <w14:textFill>
            <w14:solidFill>
              <w14:schemeClr w14:val="tx1"/>
            </w14:solidFill>
          </w14:textFill>
        </w:rPr>
        <w:t>冷屏，高温超导电流引线，内部超导母线（包括超导接头）制造，内部各类支撑，内部低温管路系统，双接头搭接及其绝缘，各类低温阀门（包括低温流量控制阀，安全泄放阀，低温安全阀和爆破膜等），流量计，流量计，压力及其信号采集系统等。</w:t>
      </w:r>
    </w:p>
    <w:p w14:paraId="78BF2183">
      <w:pPr>
        <w:pStyle w:val="5"/>
        <w:numPr>
          <w:ilvl w:val="0"/>
          <w:numId w:val="1"/>
        </w:numPr>
        <w:spacing w:line="360" w:lineRule="auto"/>
        <w:ind w:right="40" w:rightChars="19"/>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CLB内部超导缆及其端部接头要求：</w:t>
      </w:r>
    </w:p>
    <w:p w14:paraId="1CD2847D">
      <w:pPr>
        <w:pStyle w:val="5"/>
        <w:numPr>
          <w:ilvl w:val="0"/>
          <w:numId w:val="2"/>
        </w:numPr>
        <w:spacing w:line="360" w:lineRule="auto"/>
        <w:ind w:right="40" w:rightChars="19" w:firstLine="48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零部件制造达到尺寸、精度与表面要求，部件组装达到形位公差要求，所有接头盒在预装后位置度公差</w:t>
      </w:r>
      <w:r>
        <w:rPr>
          <w:color w:val="000000" w:themeColor="text1"/>
          <w:szCs w:val="21"/>
          <w:highlight w:val="none"/>
          <w14:textFill>
            <w14:solidFill>
              <w14:schemeClr w14:val="tx1"/>
            </w14:solidFill>
          </w14:textFill>
        </w:rPr>
        <w:t>＜5mm</w:t>
      </w:r>
      <w:r>
        <w:rPr>
          <w:rFonts w:hint="eastAsia" w:ascii="宋体" w:hAnsi="宋体" w:cs="宋体"/>
          <w:color w:val="000000" w:themeColor="text1"/>
          <w:szCs w:val="21"/>
          <w:highlight w:val="none"/>
          <w14:textFill>
            <w14:solidFill>
              <w14:schemeClr w14:val="tx1"/>
            </w14:solidFill>
          </w14:textFill>
        </w:rPr>
        <w:t>；</w:t>
      </w:r>
    </w:p>
    <w:p w14:paraId="108AF5B2">
      <w:pPr>
        <w:pStyle w:val="5"/>
        <w:numPr>
          <w:ilvl w:val="0"/>
          <w:numId w:val="2"/>
        </w:numPr>
        <w:spacing w:line="360" w:lineRule="auto"/>
        <w:ind w:right="40" w:rightChars="19" w:firstLine="48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超导接头工艺选择反电解去镍镀银，接头内部铟焊工艺，过程中使用的助焊剂需满足无卤族元素要求，具体工艺由项目组提供，中标方需要提供足够的专职人员进行此类特殊工艺；超导接头压力下焊接，氩弧焊焊缝与钎焊焊缝满足</w:t>
      </w:r>
      <w:r>
        <w:rPr>
          <w:color w:val="000000" w:themeColor="text1"/>
          <w:szCs w:val="21"/>
          <w:highlight w:val="none"/>
          <w14:textFill>
            <w14:solidFill>
              <w14:schemeClr w14:val="tx1"/>
            </w14:solidFill>
          </w14:textFill>
        </w:rPr>
        <w:t>30bar</w:t>
      </w:r>
      <w:r>
        <w:rPr>
          <w:rFonts w:hint="eastAsia" w:ascii="宋体" w:hAnsi="宋体" w:cs="宋体"/>
          <w:color w:val="000000" w:themeColor="text1"/>
          <w:szCs w:val="21"/>
          <w:highlight w:val="none"/>
          <w14:textFill>
            <w14:solidFill>
              <w14:schemeClr w14:val="tx1"/>
            </w14:solidFill>
          </w14:textFill>
        </w:rPr>
        <w:t>压力下漏率低于</w:t>
      </w:r>
      <w:r>
        <w:rPr>
          <w:color w:val="000000" w:themeColor="text1"/>
          <w:szCs w:val="21"/>
          <w:highlight w:val="none"/>
          <w14:textFill>
            <w14:solidFill>
              <w14:schemeClr w14:val="tx1"/>
            </w14:solidFill>
          </w14:textFill>
        </w:rPr>
        <w:t>1x10</w:t>
      </w:r>
      <w:r>
        <w:rPr>
          <w:color w:val="000000" w:themeColor="text1"/>
          <w:szCs w:val="21"/>
          <w:highlight w:val="none"/>
          <w:vertAlign w:val="superscript"/>
          <w14:textFill>
            <w14:solidFill>
              <w14:schemeClr w14:val="tx1"/>
            </w14:solidFill>
          </w14:textFill>
        </w:rPr>
        <w:t>-9</w:t>
      </w:r>
      <w:r>
        <w:rPr>
          <w:color w:val="000000" w:themeColor="text1"/>
          <w:szCs w:val="21"/>
          <w:highlight w:val="none"/>
          <w14:textFill>
            <w14:solidFill>
              <w14:schemeClr w14:val="tx1"/>
            </w14:solidFill>
          </w14:textFill>
        </w:rPr>
        <w:t>Pa.m</w:t>
      </w:r>
      <w:r>
        <w:rPr>
          <w:color w:val="000000" w:themeColor="text1"/>
          <w:szCs w:val="21"/>
          <w:highlight w:val="none"/>
          <w:vertAlign w:val="superscript"/>
          <w14:textFill>
            <w14:solidFill>
              <w14:schemeClr w14:val="tx1"/>
            </w14:solidFill>
          </w14:textFill>
        </w:rPr>
        <w:t>3</w:t>
      </w:r>
      <w:r>
        <w:rPr>
          <w:color w:val="000000" w:themeColor="text1"/>
          <w:szCs w:val="21"/>
          <w:highlight w:val="none"/>
          <w14:textFill>
            <w14:solidFill>
              <w14:schemeClr w14:val="tx1"/>
            </w14:solidFill>
          </w14:textFill>
        </w:rPr>
        <w:t>/s</w:t>
      </w:r>
      <w:r>
        <w:rPr>
          <w:rFonts w:hint="eastAsia" w:ascii="宋体" w:hAnsi="宋体" w:cs="宋体"/>
          <w:color w:val="000000" w:themeColor="text1"/>
          <w:szCs w:val="21"/>
          <w:highlight w:val="none"/>
          <w14:textFill>
            <w14:solidFill>
              <w14:schemeClr w14:val="tx1"/>
            </w14:solidFill>
          </w14:textFill>
        </w:rPr>
        <w:t>；</w:t>
      </w:r>
    </w:p>
    <w:p w14:paraId="4F12FD73">
      <w:pPr>
        <w:pStyle w:val="5"/>
        <w:numPr>
          <w:ilvl w:val="0"/>
          <w:numId w:val="2"/>
        </w:numPr>
        <w:spacing w:line="360" w:lineRule="auto"/>
        <w:ind w:right="40" w:rightChars="19" w:firstLine="48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严格依据绝缘操作规程进行，绝缘固化后无明显气孔与裂纹，绝缘组件应能达到</w:t>
      </w:r>
      <w:r>
        <w:rPr>
          <w:color w:val="000000" w:themeColor="text1"/>
          <w:szCs w:val="21"/>
          <w:highlight w:val="none"/>
          <w14:textFill>
            <w14:solidFill>
              <w14:schemeClr w14:val="tx1"/>
            </w14:solidFill>
          </w14:textFill>
        </w:rPr>
        <w:t>20kV/MB&amp;8kV/CC</w:t>
      </w:r>
      <w:r>
        <w:rPr>
          <w:rFonts w:hint="eastAsia" w:ascii="宋体" w:hAnsi="宋体" w:cs="宋体"/>
          <w:color w:val="000000" w:themeColor="text1"/>
          <w:szCs w:val="21"/>
          <w:highlight w:val="none"/>
          <w14:textFill>
            <w14:solidFill>
              <w14:schemeClr w14:val="tx1"/>
            </w14:solidFill>
          </w14:textFill>
        </w:rPr>
        <w:t>直流高压测试条件下电阻不小于</w:t>
      </w:r>
      <w:r>
        <w:rPr>
          <w:color w:val="000000" w:themeColor="text1"/>
          <w:szCs w:val="21"/>
          <w:highlight w:val="none"/>
          <w14:textFill>
            <w14:solidFill>
              <w14:schemeClr w14:val="tx1"/>
            </w14:solidFill>
          </w14:textFill>
        </w:rPr>
        <w:t>500MΩ</w:t>
      </w:r>
      <w:r>
        <w:rPr>
          <w:rFonts w:hint="eastAsia" w:ascii="宋体" w:hAnsi="宋体" w:cs="宋体"/>
          <w:color w:val="000000" w:themeColor="text1"/>
          <w:szCs w:val="21"/>
          <w:highlight w:val="none"/>
          <w14:textFill>
            <w14:solidFill>
              <w14:schemeClr w14:val="tx1"/>
            </w14:solidFill>
          </w14:textFill>
        </w:rPr>
        <w:t>的要求，具体绝缘性能要求按照招标方绝缘测试规程执行；其它未述与具体要求参考图纸（内部电流引线与超导缆超导接头连接的绝缘处理要求同样如此）。</w:t>
      </w:r>
    </w:p>
    <w:p w14:paraId="6078D60B">
      <w:pPr>
        <w:pStyle w:val="5"/>
        <w:numPr>
          <w:ilvl w:val="0"/>
          <w:numId w:val="3"/>
        </w:numPr>
        <w:spacing w:line="360" w:lineRule="auto"/>
        <w:ind w:right="40" w:rightChars="19"/>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内部各类支撑要求：</w:t>
      </w:r>
    </w:p>
    <w:p w14:paraId="5386A059">
      <w:pPr>
        <w:pStyle w:val="5"/>
        <w:numPr>
          <w:ilvl w:val="0"/>
          <w:numId w:val="4"/>
        </w:numPr>
        <w:spacing w:line="360" w:lineRule="auto"/>
        <w:ind w:right="40" w:rightChars="19" w:firstLine="48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内部各类支撑加工要求达到尺寸、精度与表面要求，部件组装达到形位公差要求；</w:t>
      </w:r>
    </w:p>
    <w:p w14:paraId="537A8623">
      <w:pPr>
        <w:pStyle w:val="5"/>
        <w:numPr>
          <w:ilvl w:val="0"/>
          <w:numId w:val="4"/>
        </w:numPr>
        <w:spacing w:line="360" w:lineRule="auto"/>
        <w:ind w:right="40" w:rightChars="19" w:firstLine="48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具体焊缝需要严格按照设计要求，所有设计的对接全焊透焊缝必须严格执行完整</w:t>
      </w:r>
      <w:r>
        <w:rPr>
          <w:color w:val="000000" w:themeColor="text1"/>
          <w:szCs w:val="21"/>
          <w:highlight w:val="none"/>
          <w14:textFill>
            <w14:solidFill>
              <w14:schemeClr w14:val="tx1"/>
            </w14:solidFill>
          </w14:textFill>
        </w:rPr>
        <w:t>100%</w:t>
      </w:r>
      <w:r>
        <w:rPr>
          <w:rFonts w:hint="eastAsia" w:ascii="宋体" w:hAnsi="宋体" w:cs="宋体"/>
          <w:color w:val="000000" w:themeColor="text1"/>
          <w:szCs w:val="21"/>
          <w:highlight w:val="none"/>
          <w14:textFill>
            <w14:solidFill>
              <w14:schemeClr w14:val="tx1"/>
            </w14:solidFill>
          </w14:textFill>
        </w:rPr>
        <w:t>体积检测，条件不具备的焊缝必须使用模拟真实空间的全尺寸焊接</w:t>
      </w:r>
      <w:r>
        <w:rPr>
          <w:color w:val="000000" w:themeColor="text1"/>
          <w:szCs w:val="21"/>
          <w:highlight w:val="none"/>
          <w14:textFill>
            <w14:solidFill>
              <w14:schemeClr w14:val="tx1"/>
            </w14:solidFill>
          </w14:textFill>
        </w:rPr>
        <w:t>PPS</w:t>
      </w:r>
      <w:r>
        <w:rPr>
          <w:rFonts w:hint="eastAsia" w:ascii="宋体" w:hAnsi="宋体" w:cs="宋体"/>
          <w:color w:val="000000" w:themeColor="text1"/>
          <w:szCs w:val="21"/>
          <w:highlight w:val="none"/>
          <w14:textFill>
            <w14:solidFill>
              <w14:schemeClr w14:val="tx1"/>
            </w14:solidFill>
          </w14:textFill>
        </w:rPr>
        <w:t>；其它未述与具体要求参考图纸。</w:t>
      </w:r>
    </w:p>
    <w:p w14:paraId="307DA494">
      <w:pPr>
        <w:pStyle w:val="5"/>
        <w:numPr>
          <w:ilvl w:val="0"/>
          <w:numId w:val="5"/>
        </w:numPr>
        <w:spacing w:line="360" w:lineRule="auto"/>
        <w:ind w:right="40" w:rightChars="19"/>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冷馈线管路要求：</w:t>
      </w:r>
    </w:p>
    <w:p w14:paraId="7D9554AE">
      <w:pPr>
        <w:pStyle w:val="5"/>
        <w:widowControl/>
        <w:numPr>
          <w:ilvl w:val="0"/>
          <w:numId w:val="6"/>
        </w:numPr>
        <w:spacing w:line="360" w:lineRule="auto"/>
        <w:ind w:left="0" w:right="40" w:rightChars="19"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零部件制造达到尺寸、精度与表面要求，部件组装达到形位公差要求；</w:t>
      </w:r>
    </w:p>
    <w:p w14:paraId="3CF9732A">
      <w:pPr>
        <w:pStyle w:val="5"/>
        <w:widowControl/>
        <w:numPr>
          <w:ilvl w:val="0"/>
          <w:numId w:val="6"/>
        </w:numPr>
        <w:spacing w:line="360" w:lineRule="auto"/>
        <w:ind w:left="0" w:right="40" w:rightChars="19"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所有冷却管管路焊缝必须是对接全焊透设计，所有焊缝必须严格执行</w:t>
      </w:r>
      <w:r>
        <w:rPr>
          <w:color w:val="000000" w:themeColor="text1"/>
          <w:szCs w:val="21"/>
          <w:highlight w:val="none"/>
          <w14:textFill>
            <w14:solidFill>
              <w14:schemeClr w14:val="tx1"/>
            </w14:solidFill>
          </w14:textFill>
        </w:rPr>
        <w:t>100%</w:t>
      </w:r>
      <w:r>
        <w:rPr>
          <w:rFonts w:hint="eastAsia" w:ascii="宋体" w:hAnsi="宋体" w:cs="宋体"/>
          <w:color w:val="000000" w:themeColor="text1"/>
          <w:szCs w:val="21"/>
          <w:highlight w:val="none"/>
          <w14:textFill>
            <w14:solidFill>
              <w14:schemeClr w14:val="tx1"/>
            </w14:solidFill>
          </w14:textFill>
        </w:rPr>
        <w:t>全尺寸检测且按照</w:t>
      </w:r>
      <w:r>
        <w:rPr>
          <w:color w:val="000000" w:themeColor="text1"/>
          <w:szCs w:val="21"/>
          <w:highlight w:val="none"/>
          <w14:textFill>
            <w14:solidFill>
              <w14:schemeClr w14:val="tx1"/>
            </w14:solidFill>
          </w14:textFill>
        </w:rPr>
        <w:t>ISO 5817B</w:t>
      </w:r>
      <w:r>
        <w:rPr>
          <w:rFonts w:hint="eastAsia" w:ascii="宋体" w:hAnsi="宋体" w:cs="宋体"/>
          <w:color w:val="000000" w:themeColor="text1"/>
          <w:szCs w:val="21"/>
          <w:highlight w:val="none"/>
          <w14:textFill>
            <w14:solidFill>
              <w14:schemeClr w14:val="tx1"/>
            </w14:solidFill>
          </w14:textFill>
        </w:rPr>
        <w:t>级验收，并满足</w:t>
      </w:r>
      <w:r>
        <w:rPr>
          <w:color w:val="000000" w:themeColor="text1"/>
          <w:szCs w:val="21"/>
          <w:highlight w:val="none"/>
          <w14:textFill>
            <w14:solidFill>
              <w14:schemeClr w14:val="tx1"/>
            </w14:solidFill>
          </w14:textFill>
        </w:rPr>
        <w:t>30bar</w:t>
      </w:r>
      <w:r>
        <w:rPr>
          <w:rFonts w:hint="eastAsia" w:ascii="宋体" w:hAnsi="宋体" w:cs="宋体"/>
          <w:color w:val="000000" w:themeColor="text1"/>
          <w:szCs w:val="21"/>
          <w:highlight w:val="none"/>
          <w14:textFill>
            <w14:solidFill>
              <w14:schemeClr w14:val="tx1"/>
            </w14:solidFill>
          </w14:textFill>
        </w:rPr>
        <w:t>压力下漏率低于</w:t>
      </w:r>
      <w:r>
        <w:rPr>
          <w:color w:val="000000" w:themeColor="text1"/>
          <w:szCs w:val="21"/>
          <w:highlight w:val="none"/>
          <w14:textFill>
            <w14:solidFill>
              <w14:schemeClr w14:val="tx1"/>
            </w14:solidFill>
          </w14:textFill>
        </w:rPr>
        <w:t>1x10</w:t>
      </w:r>
      <w:r>
        <w:rPr>
          <w:color w:val="000000" w:themeColor="text1"/>
          <w:szCs w:val="21"/>
          <w:highlight w:val="none"/>
          <w:vertAlign w:val="superscript"/>
          <w14:textFill>
            <w14:solidFill>
              <w14:schemeClr w14:val="tx1"/>
            </w14:solidFill>
          </w14:textFill>
        </w:rPr>
        <w:t>-9</w:t>
      </w:r>
      <w:r>
        <w:rPr>
          <w:color w:val="000000" w:themeColor="text1"/>
          <w:szCs w:val="21"/>
          <w:highlight w:val="none"/>
          <w14:textFill>
            <w14:solidFill>
              <w14:schemeClr w14:val="tx1"/>
            </w14:solidFill>
          </w14:textFill>
        </w:rPr>
        <w:t>Pa.m</w:t>
      </w:r>
      <w:r>
        <w:rPr>
          <w:color w:val="000000" w:themeColor="text1"/>
          <w:szCs w:val="21"/>
          <w:highlight w:val="none"/>
          <w:vertAlign w:val="superscript"/>
          <w14:textFill>
            <w14:solidFill>
              <w14:schemeClr w14:val="tx1"/>
            </w14:solidFill>
          </w14:textFill>
        </w:rPr>
        <w:t>3</w:t>
      </w:r>
      <w:r>
        <w:rPr>
          <w:color w:val="000000" w:themeColor="text1"/>
          <w:szCs w:val="21"/>
          <w:highlight w:val="none"/>
          <w14:textFill>
            <w14:solidFill>
              <w14:schemeClr w14:val="tx1"/>
            </w14:solidFill>
          </w14:textFill>
        </w:rPr>
        <w:t>/s</w:t>
      </w:r>
      <w:r>
        <w:rPr>
          <w:rFonts w:hint="eastAsia" w:ascii="宋体" w:hAnsi="宋体" w:cs="宋体"/>
          <w:color w:val="000000" w:themeColor="text1"/>
          <w:szCs w:val="21"/>
          <w:highlight w:val="none"/>
          <w14:textFill>
            <w14:solidFill>
              <w14:schemeClr w14:val="tx1"/>
            </w14:solidFill>
          </w14:textFill>
        </w:rPr>
        <w:t>；其它未述与具体要求参考图纸。</w:t>
      </w:r>
    </w:p>
    <w:p w14:paraId="5664718D">
      <w:pPr>
        <w:pStyle w:val="6"/>
        <w:widowControl/>
        <w:numPr>
          <w:ilvl w:val="0"/>
          <w:numId w:val="7"/>
        </w:numPr>
        <w:spacing w:line="360" w:lineRule="auto"/>
        <w:ind w:left="0" w:firstLine="0" w:firstLineChars="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内部多层绝热的包绕：</w:t>
      </w:r>
    </w:p>
    <w:p w14:paraId="73B2717E">
      <w:pPr>
        <w:pStyle w:val="6"/>
        <w:widowControl/>
        <w:spacing w:line="360" w:lineRule="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主要包括80K冷屏和内部部分低温管路的外表面包绕处理（甲方提供冷屏多层绝热材料，其余部分不提供（如低温管路））。</w:t>
      </w:r>
    </w:p>
    <w:p w14:paraId="15FA7284">
      <w:pPr>
        <w:pStyle w:val="6"/>
        <w:widowControl/>
        <w:numPr>
          <w:ilvl w:val="0"/>
          <w:numId w:val="7"/>
        </w:numPr>
        <w:spacing w:line="360" w:lineRule="auto"/>
        <w:ind w:left="0" w:firstLine="0" w:firstLineChars="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我方提供部件的集成要求：</w:t>
      </w:r>
    </w:p>
    <w:p w14:paraId="337DF78E">
      <w:pPr>
        <w:pStyle w:val="6"/>
        <w:widowControl/>
        <w:spacing w:line="360" w:lineRule="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如电流引线，外真空壳体，冷屏，低温阀门，安全阀，多层绝热材料，各类传感器等，需严格按照产品说明书和相应的图纸要求进行集成安装。</w:t>
      </w:r>
    </w:p>
    <w:p w14:paraId="5F3A4A9B">
      <w:pPr>
        <w:pStyle w:val="6"/>
        <w:numPr>
          <w:ilvl w:val="0"/>
          <w:numId w:val="7"/>
        </w:numPr>
        <w:spacing w:line="360" w:lineRule="auto"/>
        <w:ind w:firstLineChars="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总体集成要求：</w:t>
      </w:r>
    </w:p>
    <w:p w14:paraId="24075869">
      <w:pPr>
        <w:pStyle w:val="6"/>
        <w:widowControl/>
        <w:numPr>
          <w:ilvl w:val="0"/>
          <w:numId w:val="8"/>
        </w:numPr>
        <w:spacing w:line="360" w:lineRule="auto"/>
        <w:ind w:left="0" w:firstLine="425" w:firstLineChars="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需提供</w:t>
      </w:r>
      <w:r>
        <w:rPr>
          <w:color w:val="000000" w:themeColor="text1"/>
          <w:szCs w:val="21"/>
          <w:highlight w:val="none"/>
          <w14:textFill>
            <w14:solidFill>
              <w14:schemeClr w14:val="tx1"/>
            </w14:solidFill>
          </w14:textFill>
        </w:rPr>
        <w:t>CLB</w:t>
      </w:r>
      <w:r>
        <w:rPr>
          <w:rFonts w:hint="eastAsia" w:ascii="宋体" w:hAnsi="宋体" w:cs="宋体"/>
          <w:color w:val="000000" w:themeColor="text1"/>
          <w:szCs w:val="21"/>
          <w:highlight w:val="none"/>
          <w14:textFill>
            <w14:solidFill>
              <w14:schemeClr w14:val="tx1"/>
            </w14:solidFill>
          </w14:textFill>
        </w:rPr>
        <w:t>总装在常温条件下真空状态和非真空状态下外形尺寸检测的报告（可依据真空外表面自带的靶标座测量）；</w:t>
      </w:r>
    </w:p>
    <w:p w14:paraId="00465FD1">
      <w:pPr>
        <w:pStyle w:val="6"/>
        <w:widowControl/>
        <w:numPr>
          <w:ilvl w:val="0"/>
          <w:numId w:val="8"/>
        </w:numPr>
        <w:spacing w:line="360" w:lineRule="auto"/>
        <w:ind w:left="0" w:firstLine="425" w:firstLineChars="0"/>
        <w:rPr>
          <w:rFonts w:hint="eastAsia" w:ascii="宋体" w:hAnsi="宋体" w:cs="宋体"/>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CL</w:t>
      </w:r>
      <w:r>
        <w:rPr>
          <w:rFonts w:hint="eastAsia" w:ascii="宋体" w:hAnsi="宋体" w:cs="宋体"/>
          <w:color w:val="000000" w:themeColor="text1"/>
          <w:szCs w:val="21"/>
          <w:highlight w:val="none"/>
          <w14:textFill>
            <w14:solidFill>
              <w14:schemeClr w14:val="tx1"/>
            </w14:solidFill>
          </w14:textFill>
        </w:rPr>
        <w:t>B总装转运后尺寸、精度，不得发生变化，需制造运输防护工装，设计制造的运输工装要求对总装有防护功能且方便拆卸。</w:t>
      </w:r>
    </w:p>
    <w:p w14:paraId="09697BDF">
      <w:pPr>
        <w:pStyle w:val="6"/>
        <w:widowControl/>
        <w:numPr>
          <w:ilvl w:val="0"/>
          <w:numId w:val="8"/>
        </w:numPr>
        <w:spacing w:line="360" w:lineRule="auto"/>
        <w:ind w:left="0" w:firstLine="425" w:firstLineChars="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应自备常温检漏工装（密封法兰，密封圈等），并在室温下整体进行抽真空、打压（内部低温管路）氦质谱检漏，尤其是针对氦管道焊缝，往</w:t>
      </w:r>
      <w:r>
        <w:rPr>
          <w:color w:val="000000" w:themeColor="text1"/>
          <w:szCs w:val="21"/>
          <w:highlight w:val="none"/>
          <w14:textFill>
            <w14:solidFill>
              <w14:schemeClr w14:val="tx1"/>
            </w14:solidFill>
          </w14:textFill>
        </w:rPr>
        <w:t>CLB</w:t>
      </w:r>
      <w:r>
        <w:rPr>
          <w:rFonts w:hint="eastAsia" w:ascii="宋体" w:hAnsi="宋体" w:cs="宋体"/>
          <w:color w:val="000000" w:themeColor="text1"/>
          <w:szCs w:val="21"/>
          <w:highlight w:val="none"/>
          <w14:textFill>
            <w14:solidFill>
              <w14:schemeClr w14:val="tx1"/>
            </w14:solidFill>
          </w14:textFill>
        </w:rPr>
        <w:t>中安装前的预制管道上的焊缝，先进行3次</w:t>
      </w:r>
      <w:r>
        <w:rPr>
          <w:color w:val="000000" w:themeColor="text1"/>
          <w:szCs w:val="21"/>
          <w:highlight w:val="none"/>
          <w14:textFill>
            <w14:solidFill>
              <w14:schemeClr w14:val="tx1"/>
            </w14:solidFill>
          </w14:textFill>
        </w:rPr>
        <w:t>80K</w:t>
      </w:r>
      <w:r>
        <w:rPr>
          <w:rFonts w:hint="eastAsia" w:ascii="宋体" w:hAnsi="宋体" w:cs="宋体"/>
          <w:color w:val="000000" w:themeColor="text1"/>
          <w:szCs w:val="21"/>
          <w:highlight w:val="none"/>
          <w14:textFill>
            <w14:solidFill>
              <w14:schemeClr w14:val="tx1"/>
            </w14:solidFill>
          </w14:textFill>
        </w:rPr>
        <w:t>的冷热冲击之后，然后进行无损检测（射线或超声，渗透，然后是</w:t>
      </w:r>
      <w:r>
        <w:rPr>
          <w:color w:val="000000" w:themeColor="text1"/>
          <w:szCs w:val="21"/>
          <w:highlight w:val="none"/>
          <w14:textFill>
            <w14:solidFill>
              <w14:schemeClr w14:val="tx1"/>
            </w14:solidFill>
          </w14:textFill>
        </w:rPr>
        <w:t>3MPa</w:t>
      </w:r>
      <w:r>
        <w:rPr>
          <w:rFonts w:hint="eastAsia" w:ascii="宋体" w:hAnsi="宋体" w:cs="宋体"/>
          <w:color w:val="000000" w:themeColor="text1"/>
          <w:szCs w:val="21"/>
          <w:highlight w:val="none"/>
          <w14:textFill>
            <w14:solidFill>
              <w14:schemeClr w14:val="tx1"/>
            </w14:solidFill>
          </w14:textFill>
        </w:rPr>
        <w:t>的氦正压检漏），</w:t>
      </w:r>
      <w:r>
        <w:rPr>
          <w:color w:val="000000" w:themeColor="text1"/>
          <w:szCs w:val="21"/>
          <w:highlight w:val="none"/>
          <w14:textFill>
            <w14:solidFill>
              <w14:schemeClr w14:val="tx1"/>
            </w14:solidFill>
          </w14:textFill>
        </w:rPr>
        <w:t>CLB</w:t>
      </w:r>
      <w:r>
        <w:rPr>
          <w:rFonts w:hint="eastAsia" w:ascii="宋体" w:hAnsi="宋体" w:cs="宋体"/>
          <w:color w:val="000000" w:themeColor="text1"/>
          <w:szCs w:val="21"/>
          <w:highlight w:val="none"/>
          <w14:textFill>
            <w14:solidFill>
              <w14:schemeClr w14:val="tx1"/>
            </w14:solidFill>
          </w14:textFill>
        </w:rPr>
        <w:t>内部现场安装时产生的管道焊缝，如：与阀门连接时的焊缝，先进行无损检测（射线或超声，渗透），然后是</w:t>
      </w:r>
      <w:r>
        <w:rPr>
          <w:color w:val="000000" w:themeColor="text1"/>
          <w:szCs w:val="21"/>
          <w:highlight w:val="none"/>
          <w14:textFill>
            <w14:solidFill>
              <w14:schemeClr w14:val="tx1"/>
            </w14:solidFill>
          </w14:textFill>
        </w:rPr>
        <w:t>3MPa</w:t>
      </w:r>
      <w:r>
        <w:rPr>
          <w:rFonts w:hint="eastAsia" w:ascii="宋体" w:hAnsi="宋体" w:cs="宋体"/>
          <w:color w:val="000000" w:themeColor="text1"/>
          <w:szCs w:val="21"/>
          <w:highlight w:val="none"/>
          <w14:textFill>
            <w14:solidFill>
              <w14:schemeClr w14:val="tx1"/>
            </w14:solidFill>
          </w14:textFill>
        </w:rPr>
        <w:t>的氦正压检漏。</w:t>
      </w:r>
    </w:p>
    <w:p w14:paraId="3A2450AF">
      <w:pPr>
        <w:pStyle w:val="6"/>
        <w:widowControl/>
        <w:numPr>
          <w:ilvl w:val="0"/>
          <w:numId w:val="8"/>
        </w:numPr>
        <w:spacing w:line="360" w:lineRule="auto"/>
        <w:ind w:left="0" w:firstLine="425" w:firstLineChars="0"/>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装配完成后罐体整体漏率小于</w:t>
      </w:r>
      <w:r>
        <w:rPr>
          <w:color w:val="000000" w:themeColor="text1"/>
          <w:szCs w:val="21"/>
          <w:highlight w:val="none"/>
          <w14:textFill>
            <w14:solidFill>
              <w14:schemeClr w14:val="tx1"/>
            </w14:solidFill>
          </w14:textFill>
        </w:rPr>
        <w:t>1×10</w:t>
      </w:r>
      <w:r>
        <w:rPr>
          <w:color w:val="000000" w:themeColor="text1"/>
          <w:szCs w:val="21"/>
          <w:highlight w:val="none"/>
          <w:vertAlign w:val="superscript"/>
          <w14:textFill>
            <w14:solidFill>
              <w14:schemeClr w14:val="tx1"/>
            </w14:solidFill>
          </w14:textFill>
        </w:rPr>
        <w:t>-7</w:t>
      </w:r>
      <w:r>
        <w:rPr>
          <w:color w:val="000000" w:themeColor="text1"/>
          <w:szCs w:val="21"/>
          <w:highlight w:val="none"/>
          <w14:textFill>
            <w14:solidFill>
              <w14:schemeClr w14:val="tx1"/>
            </w14:solidFill>
          </w14:textFill>
        </w:rPr>
        <w:t>Pa.m3/s</w:t>
      </w:r>
      <w:r>
        <w:rPr>
          <w:rFonts w:hint="eastAsia" w:ascii="宋体" w:hAnsi="宋体" w:cs="宋体"/>
          <w:color w:val="000000" w:themeColor="text1"/>
          <w:szCs w:val="21"/>
          <w:highlight w:val="none"/>
          <w14:textFill>
            <w14:solidFill>
              <w14:schemeClr w14:val="tx1"/>
            </w14:solidFill>
          </w14:textFill>
        </w:rPr>
        <w:t>。所有管道、氦密封边界、真空边界的焊接单点漏率小于</w:t>
      </w:r>
      <w:r>
        <w:rPr>
          <w:color w:val="000000" w:themeColor="text1"/>
          <w:szCs w:val="21"/>
          <w:highlight w:val="none"/>
          <w14:textFill>
            <w14:solidFill>
              <w14:schemeClr w14:val="tx1"/>
            </w14:solidFill>
          </w14:textFill>
        </w:rPr>
        <w:t>1×10</w:t>
      </w:r>
      <w:r>
        <w:rPr>
          <w:color w:val="000000" w:themeColor="text1"/>
          <w:szCs w:val="21"/>
          <w:highlight w:val="none"/>
          <w:vertAlign w:val="superscript"/>
          <w14:textFill>
            <w14:solidFill>
              <w14:schemeClr w14:val="tx1"/>
            </w14:solidFill>
          </w14:textFill>
        </w:rPr>
        <w:t>-9</w:t>
      </w:r>
      <w:r>
        <w:rPr>
          <w:color w:val="000000" w:themeColor="text1"/>
          <w:szCs w:val="21"/>
          <w:highlight w:val="none"/>
          <w14:textFill>
            <w14:solidFill>
              <w14:schemeClr w14:val="tx1"/>
            </w14:solidFill>
          </w14:textFill>
        </w:rPr>
        <w:t>Pa.m</w:t>
      </w:r>
      <w:r>
        <w:rPr>
          <w:color w:val="000000" w:themeColor="text1"/>
          <w:szCs w:val="21"/>
          <w:highlight w:val="none"/>
          <w:vertAlign w:val="superscript"/>
          <w14:textFill>
            <w14:solidFill>
              <w14:schemeClr w14:val="tx1"/>
            </w14:solidFill>
          </w14:textFill>
        </w:rPr>
        <w:t>3</w:t>
      </w:r>
      <w:r>
        <w:rPr>
          <w:color w:val="000000" w:themeColor="text1"/>
          <w:szCs w:val="21"/>
          <w:highlight w:val="none"/>
          <w14:textFill>
            <w14:solidFill>
              <w14:schemeClr w14:val="tx1"/>
            </w14:solidFill>
          </w14:textFill>
        </w:rPr>
        <w:t>/s</w:t>
      </w:r>
      <w:r>
        <w:rPr>
          <w:rFonts w:hint="eastAsia" w:ascii="宋体" w:hAnsi="宋体" w:cs="宋体"/>
          <w:color w:val="000000" w:themeColor="text1"/>
          <w:szCs w:val="21"/>
          <w:highlight w:val="none"/>
          <w14:textFill>
            <w14:solidFill>
              <w14:schemeClr w14:val="tx1"/>
            </w14:solidFill>
          </w14:textFill>
        </w:rPr>
        <w:t>，真空度</w:t>
      </w:r>
      <w:r>
        <w:rPr>
          <w:color w:val="000000" w:themeColor="text1"/>
          <w:szCs w:val="21"/>
          <w:highlight w:val="none"/>
          <w14:textFill>
            <w14:solidFill>
              <w14:schemeClr w14:val="tx1"/>
            </w14:solidFill>
          </w14:textFill>
        </w:rPr>
        <w:t>≤1x10</w:t>
      </w:r>
      <w:r>
        <w:rPr>
          <w:color w:val="000000" w:themeColor="text1"/>
          <w:szCs w:val="21"/>
          <w:highlight w:val="none"/>
          <w:vertAlign w:val="superscript"/>
          <w14:textFill>
            <w14:solidFill>
              <w14:schemeClr w14:val="tx1"/>
            </w14:solidFill>
          </w14:textFill>
        </w:rPr>
        <w:t>-3</w:t>
      </w:r>
      <w:r>
        <w:rPr>
          <w:color w:val="000000" w:themeColor="text1"/>
          <w:szCs w:val="21"/>
          <w:highlight w:val="none"/>
          <w14:textFill>
            <w14:solidFill>
              <w14:schemeClr w14:val="tx1"/>
            </w14:solidFill>
          </w14:textFill>
        </w:rPr>
        <w:t xml:space="preserve"> Pa</w:t>
      </w:r>
      <w:r>
        <w:rPr>
          <w:rFonts w:hint="eastAsia" w:ascii="宋体" w:hAnsi="宋体" w:cs="宋体"/>
          <w:color w:val="000000" w:themeColor="text1"/>
          <w:szCs w:val="21"/>
          <w:highlight w:val="none"/>
          <w14:textFill>
            <w14:solidFill>
              <w14:schemeClr w14:val="tx1"/>
            </w14:solidFill>
          </w14:textFill>
        </w:rPr>
        <w:t>，并出具检漏报告。</w:t>
      </w:r>
    </w:p>
    <w:p w14:paraId="1A61DCB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D8E17C0"/>
    <w:multiLevelType w:val="singleLevel"/>
    <w:tmpl w:val="9D8E17C0"/>
    <w:lvl w:ilvl="0" w:tentative="0">
      <w:start w:val="1"/>
      <w:numFmt w:val="decimal"/>
      <w:suff w:val="space"/>
      <w:lvlText w:val="%1)"/>
      <w:lvlJc w:val="left"/>
    </w:lvl>
  </w:abstractNum>
  <w:abstractNum w:abstractNumId="1">
    <w:nsid w:val="E18F0643"/>
    <w:multiLevelType w:val="singleLevel"/>
    <w:tmpl w:val="E18F0643"/>
    <w:lvl w:ilvl="0" w:tentative="0">
      <w:start w:val="1"/>
      <w:numFmt w:val="decimal"/>
      <w:lvlText w:val="%1)"/>
      <w:lvlJc w:val="left"/>
      <w:pPr>
        <w:ind w:left="425" w:hanging="425"/>
      </w:pPr>
      <w:rPr>
        <w:rFonts w:hint="default"/>
      </w:rPr>
    </w:lvl>
  </w:abstractNum>
  <w:abstractNum w:abstractNumId="2">
    <w:nsid w:val="0F98E32B"/>
    <w:multiLevelType w:val="singleLevel"/>
    <w:tmpl w:val="0F98E32B"/>
    <w:lvl w:ilvl="0" w:tentative="0">
      <w:start w:val="1"/>
      <w:numFmt w:val="bullet"/>
      <w:lvlText w:val=""/>
      <w:lvlJc w:val="left"/>
      <w:pPr>
        <w:ind w:left="420" w:hanging="420"/>
      </w:pPr>
      <w:rPr>
        <w:rFonts w:hint="default" w:ascii="Wingdings" w:hAnsi="Wingdings"/>
      </w:rPr>
    </w:lvl>
  </w:abstractNum>
  <w:abstractNum w:abstractNumId="3">
    <w:nsid w:val="11309367"/>
    <w:multiLevelType w:val="singleLevel"/>
    <w:tmpl w:val="11309367"/>
    <w:lvl w:ilvl="0" w:tentative="0">
      <w:start w:val="1"/>
      <w:numFmt w:val="bullet"/>
      <w:lvlText w:val=""/>
      <w:lvlJc w:val="left"/>
      <w:pPr>
        <w:ind w:left="420" w:hanging="420"/>
      </w:pPr>
      <w:rPr>
        <w:rFonts w:hint="default" w:ascii="Wingdings" w:hAnsi="Wingdings"/>
      </w:rPr>
    </w:lvl>
  </w:abstractNum>
  <w:abstractNum w:abstractNumId="4">
    <w:nsid w:val="3EA49B3D"/>
    <w:multiLevelType w:val="singleLevel"/>
    <w:tmpl w:val="3EA49B3D"/>
    <w:lvl w:ilvl="0" w:tentative="0">
      <w:start w:val="1"/>
      <w:numFmt w:val="bullet"/>
      <w:lvlText w:val=""/>
      <w:lvlJc w:val="left"/>
      <w:pPr>
        <w:ind w:left="420" w:hanging="420"/>
      </w:pPr>
      <w:rPr>
        <w:rFonts w:hint="default" w:ascii="Wingdings" w:hAnsi="Wingdings"/>
      </w:rPr>
    </w:lvl>
  </w:abstractNum>
  <w:abstractNum w:abstractNumId="5">
    <w:nsid w:val="438609ED"/>
    <w:multiLevelType w:val="singleLevel"/>
    <w:tmpl w:val="438609ED"/>
    <w:lvl w:ilvl="0" w:tentative="0">
      <w:start w:val="1"/>
      <w:numFmt w:val="decimal"/>
      <w:lvlText w:val="%1)"/>
      <w:lvlJc w:val="left"/>
      <w:pPr>
        <w:ind w:left="425" w:hanging="425"/>
      </w:pPr>
      <w:rPr>
        <w:rFonts w:hint="default"/>
      </w:rPr>
    </w:lvl>
  </w:abstractNum>
  <w:abstractNum w:abstractNumId="6">
    <w:nsid w:val="6DB25353"/>
    <w:multiLevelType w:val="singleLevel"/>
    <w:tmpl w:val="6DB25353"/>
    <w:lvl w:ilvl="0" w:tentative="0">
      <w:start w:val="1"/>
      <w:numFmt w:val="bullet"/>
      <w:lvlText w:val=""/>
      <w:lvlJc w:val="left"/>
      <w:pPr>
        <w:ind w:left="420" w:hanging="420"/>
      </w:pPr>
      <w:rPr>
        <w:rFonts w:hint="default" w:ascii="Wingdings" w:hAnsi="Wingdings"/>
      </w:rPr>
    </w:lvl>
  </w:abstractNum>
  <w:abstractNum w:abstractNumId="7">
    <w:nsid w:val="6FC78B2F"/>
    <w:multiLevelType w:val="singleLevel"/>
    <w:tmpl w:val="6FC78B2F"/>
    <w:lvl w:ilvl="0" w:tentative="0">
      <w:start w:val="1"/>
      <w:numFmt w:val="decimal"/>
      <w:suff w:val="nothing"/>
      <w:lvlText w:val="%1）"/>
      <w:lvlJc w:val="left"/>
    </w:lvl>
  </w:abstractNum>
  <w:num w:numId="1">
    <w:abstractNumId w:val="3"/>
  </w:num>
  <w:num w:numId="2">
    <w:abstractNumId w:val="7"/>
  </w:num>
  <w:num w:numId="3">
    <w:abstractNumId w:val="6"/>
  </w:num>
  <w:num w:numId="4">
    <w:abstractNumId w:val="0"/>
  </w:num>
  <w:num w:numId="5">
    <w:abstractNumId w:val="4"/>
  </w:num>
  <w:num w:numId="6">
    <w:abstractNumId w:val="5"/>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39F29F1"/>
    <w:rsid w:val="239F29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keepNext/>
      <w:keepLines/>
      <w:spacing w:before="340" w:beforeLines="0" w:after="330" w:afterLines="0" w:line="578" w:lineRule="auto"/>
      <w:outlineLvl w:val="0"/>
    </w:pPr>
    <w:rPr>
      <w:b/>
      <w:bCs/>
      <w:kern w:val="44"/>
      <w:sz w:val="44"/>
      <w:szCs w:val="44"/>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customStyle="1" w:styleId="5">
    <w:name w:val="_Style 21"/>
    <w:basedOn w:val="1"/>
    <w:next w:val="6"/>
    <w:qFormat/>
    <w:uiPriority w:val="34"/>
    <w:pPr>
      <w:spacing w:line="240" w:lineRule="auto"/>
      <w:ind w:firstLine="420"/>
    </w:pPr>
  </w:style>
  <w:style w:type="paragraph" w:styleId="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2026-11-02T06:19:00Z</dcterms:created>
  <dc:creator>宋方方</dc:creator>
  <cp:lastModifiedBy>宋方方</cp:lastModifiedBy>
  <dcterms:modified xsi:type="dcterms:W3CDTF">2026-11-02T06:19:57Z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C45D751754AA46C2AA38939C0DA624F1_11</vt:lpwstr>
  </property>
  <property fmtid="{D5CDD505-2E9C-101B-9397-08002B2CF9AE}" pid="4" name="KSOTemplateDocerSaveRecord">
    <vt:lpwstr>eyJoZGlkIjoiY2ZjZDI4YmRkZDY3MGZmNjNjY2JiZTFlYmI4OWM0ZWEiLCJ1c2VySWQiOiIxNzYzODEyODI4In0=</vt:lpwstr>
  </property>
</Properties>
</file>