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55DB3">
      <w:pPr>
        <w:pStyle w:val="2"/>
        <w:widowControl/>
        <w:snapToGrid w:val="0"/>
        <w:spacing w:before="0" w:after="0" w:line="360" w:lineRule="auto"/>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 xml:space="preserve"> 采购需求及技术规格要求</w:t>
      </w:r>
    </w:p>
    <w:p w14:paraId="027B8023">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1、货物需求一览表</w:t>
      </w:r>
    </w:p>
    <w:tbl>
      <w:tblPr>
        <w:tblStyle w:val="3"/>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2406"/>
        <w:gridCol w:w="1090"/>
        <w:gridCol w:w="1637"/>
        <w:gridCol w:w="2568"/>
      </w:tblGrid>
      <w:tr w14:paraId="4B71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center"/>
          </w:tcPr>
          <w:p w14:paraId="43E12586">
            <w:pPr>
              <w:pageBreakBefore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序号</w:t>
            </w:r>
          </w:p>
        </w:tc>
        <w:tc>
          <w:tcPr>
            <w:tcW w:w="2406" w:type="dxa"/>
            <w:noWrap w:val="0"/>
            <w:vAlign w:val="center"/>
          </w:tcPr>
          <w:p w14:paraId="25B0C9F6">
            <w:pPr>
              <w:pageBreakBefore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货物名称</w:t>
            </w:r>
          </w:p>
        </w:tc>
        <w:tc>
          <w:tcPr>
            <w:tcW w:w="1090" w:type="dxa"/>
            <w:noWrap w:val="0"/>
            <w:vAlign w:val="center"/>
          </w:tcPr>
          <w:p w14:paraId="10C09434">
            <w:pPr>
              <w:pageBreakBefore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数量</w:t>
            </w:r>
          </w:p>
        </w:tc>
        <w:tc>
          <w:tcPr>
            <w:tcW w:w="1637" w:type="dxa"/>
            <w:noWrap w:val="0"/>
            <w:vAlign w:val="center"/>
          </w:tcPr>
          <w:p w14:paraId="78E9A256">
            <w:pPr>
              <w:pageBreakBefore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预算（万元）</w:t>
            </w:r>
          </w:p>
        </w:tc>
        <w:tc>
          <w:tcPr>
            <w:tcW w:w="2568" w:type="dxa"/>
            <w:noWrap w:val="0"/>
            <w:vAlign w:val="center"/>
          </w:tcPr>
          <w:p w14:paraId="4706E611">
            <w:pPr>
              <w:pageBreakBefore w:val="0"/>
              <w:kinsoku/>
              <w:wordWrap/>
              <w:overflowPunct/>
              <w:topLinePunct w:val="0"/>
              <w:bidi w:val="0"/>
              <w:adjustRightInd w:val="0"/>
              <w:snapToGrid w:val="0"/>
              <w:spacing w:line="360" w:lineRule="auto"/>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交货期</w:t>
            </w:r>
          </w:p>
        </w:tc>
      </w:tr>
      <w:tr w14:paraId="239D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04" w:type="dxa"/>
            <w:noWrap w:val="0"/>
            <w:vAlign w:val="center"/>
          </w:tcPr>
          <w:p w14:paraId="00DFB37E">
            <w:pPr>
              <w:pageBreakBefore w:val="0"/>
              <w:kinsoku/>
              <w:wordWrap/>
              <w:overflowPunct/>
              <w:topLinePunct w:val="0"/>
              <w:bidi w:val="0"/>
              <w:adjustRightInd w:val="0"/>
              <w:snapToGrid w:val="0"/>
              <w:spacing w:line="360" w:lineRule="auto"/>
              <w:jc w:val="center"/>
              <w:textAlignment w:val="auto"/>
              <w:outlineLvl w:val="0"/>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p>
        </w:tc>
        <w:tc>
          <w:tcPr>
            <w:tcW w:w="2406" w:type="dxa"/>
            <w:noWrap w:val="0"/>
            <w:vAlign w:val="center"/>
          </w:tcPr>
          <w:p w14:paraId="1CE5CFEC">
            <w:pPr>
              <w:pageBreakBefore w:val="0"/>
              <w:kinsoku/>
              <w:wordWrap/>
              <w:overflowPunct/>
              <w:topLinePunct w:val="0"/>
              <w:bidi w:val="0"/>
              <w:adjustRightInd w:val="0"/>
              <w:snapToGrid w:val="0"/>
              <w:spacing w:line="360" w:lineRule="auto"/>
              <w:jc w:val="center"/>
              <w:textAlignment w:val="auto"/>
              <w:outlineLvl w:val="0"/>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速调管</w:t>
            </w:r>
          </w:p>
        </w:tc>
        <w:tc>
          <w:tcPr>
            <w:tcW w:w="1090" w:type="dxa"/>
            <w:noWrap w:val="0"/>
            <w:vAlign w:val="center"/>
          </w:tcPr>
          <w:p w14:paraId="6661F373">
            <w:pPr>
              <w:pageBreakBefore w:val="0"/>
              <w:kinsoku/>
              <w:wordWrap/>
              <w:overflowPunct/>
              <w:topLinePunct w:val="0"/>
              <w:bidi w:val="0"/>
              <w:adjustRightInd w:val="0"/>
              <w:snapToGrid w:val="0"/>
              <w:spacing w:line="360" w:lineRule="auto"/>
              <w:jc w:val="center"/>
              <w:textAlignment w:val="auto"/>
              <w:outlineLvl w:val="0"/>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1</w:t>
            </w:r>
          </w:p>
        </w:tc>
        <w:tc>
          <w:tcPr>
            <w:tcW w:w="1637" w:type="dxa"/>
            <w:noWrap w:val="0"/>
            <w:vAlign w:val="center"/>
          </w:tcPr>
          <w:p w14:paraId="762DB426">
            <w:pPr>
              <w:pageBreakBefore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60</w:t>
            </w:r>
          </w:p>
        </w:tc>
        <w:tc>
          <w:tcPr>
            <w:tcW w:w="2568" w:type="dxa"/>
            <w:noWrap w:val="0"/>
            <w:vAlign w:val="center"/>
          </w:tcPr>
          <w:p w14:paraId="552B9304">
            <w:pPr>
              <w:pageBreakBefore w:val="0"/>
              <w:kinsoku/>
              <w:wordWrap/>
              <w:overflowPunct/>
              <w:topLinePunct w:val="0"/>
              <w:bidi w:val="0"/>
              <w:adjustRightInd w:val="0"/>
              <w:snapToGrid w:val="0"/>
              <w:spacing w:line="36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合同签订后</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个月内</w:t>
            </w:r>
          </w:p>
        </w:tc>
      </w:tr>
    </w:tbl>
    <w:p w14:paraId="777DBFB0">
      <w:pPr>
        <w:pageBreakBefore w:val="0"/>
        <w:kinsoku/>
        <w:wordWrap/>
        <w:overflowPunct/>
        <w:topLinePunct w:val="0"/>
        <w:bidi w:val="0"/>
        <w:adjustRightInd w:val="0"/>
        <w:snapToGrid w:val="0"/>
        <w:spacing w:line="360" w:lineRule="auto"/>
        <w:ind w:firstLine="482" w:firstLineChars="200"/>
        <w:textAlignment w:val="auto"/>
        <w:rPr>
          <w:rFonts w:hint="default" w:ascii="Times New Roman" w:hAnsi="Times New Roman" w:cs="Times New Roman"/>
          <w:b/>
          <w:color w:val="000000" w:themeColor="text1"/>
          <w:sz w:val="24"/>
          <w:highlight w:val="none"/>
          <w14:textFill>
            <w14:solidFill>
              <w14:schemeClr w14:val="tx1"/>
            </w14:solidFill>
          </w14:textFill>
        </w:rPr>
      </w:pPr>
      <w:bookmarkStart w:id="0" w:name="_Toc12010815"/>
      <w:bookmarkStart w:id="1" w:name="_Toc509153917"/>
      <w:bookmarkStart w:id="2" w:name="_Toc532807472"/>
      <w:bookmarkStart w:id="3" w:name="_Toc257021215"/>
      <w:bookmarkStart w:id="4" w:name="_Toc30409514"/>
      <w:bookmarkStart w:id="5" w:name="_Toc12010788"/>
    </w:p>
    <w:p w14:paraId="5A1CD17A">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2、工程技术要求</w:t>
      </w:r>
      <w:bookmarkEnd w:id="0"/>
      <w:bookmarkEnd w:id="1"/>
      <w:bookmarkEnd w:id="2"/>
      <w:bookmarkEnd w:id="3"/>
      <w:bookmarkEnd w:id="4"/>
      <w:bookmarkEnd w:id="5"/>
    </w:p>
    <w:p w14:paraId="1977FF7D">
      <w:pPr>
        <w:keepNext w:val="0"/>
        <w:keepLines w:val="0"/>
        <w:pageBreakBefore w:val="0"/>
        <w:widowControl w:val="0"/>
        <w:kinsoku/>
        <w:wordWrap/>
        <w:overflowPunct/>
        <w:topLinePunct w:val="0"/>
        <w:autoSpaceDE/>
        <w:autoSpaceDN/>
        <w:bidi w:val="0"/>
        <w:spacing w:before="157" w:beforeLines="50" w:after="157" w:afterLines="50" w:line="360" w:lineRule="auto"/>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2.1、设备的主要用途及功能</w:t>
      </w:r>
    </w:p>
    <w:p w14:paraId="0B84F1FD">
      <w:pPr>
        <w:pageBreakBefore w:val="0"/>
        <w:kinsoku/>
        <w:wordWrap/>
        <w:overflowPunct/>
        <w:topLinePunct w:val="0"/>
        <w:bidi w:val="0"/>
        <w:spacing w:line="360" w:lineRule="auto"/>
        <w:ind w:firstLine="420" w:firstLineChars="200"/>
        <w:jc w:val="left"/>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速调管是一种基于速度调制原理将电子注能量转换成微波能量的真空电子器件，是</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低杂波</w:t>
      </w:r>
      <w:r>
        <w:rPr>
          <w:rFonts w:hint="default" w:ascii="Times New Roman" w:hAnsi="Times New Roman" w:cs="Times New Roman"/>
          <w:color w:val="000000" w:themeColor="text1"/>
          <w:sz w:val="21"/>
          <w:szCs w:val="21"/>
          <w:highlight w:val="none"/>
          <w14:textFill>
            <w14:solidFill>
              <w14:schemeClr w14:val="tx1"/>
            </w14:solidFill>
          </w14:textFill>
        </w:rPr>
        <w:t>微波源系统的核心组成部分。本次采购的速调管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将用于EAST</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装置E窗口</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的低杂波电流</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驱动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系统中。</w:t>
      </w:r>
    </w:p>
    <w:p w14:paraId="4CAF73F4">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2.2、 工作条件</w:t>
      </w:r>
    </w:p>
    <w:p w14:paraId="0882A2F1">
      <w:pPr>
        <w:pageBreakBefore w:val="0"/>
        <w:kinsoku/>
        <w:wordWrap/>
        <w:overflowPunct/>
        <w:topLinePunct w:val="0"/>
        <w:bidi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1）激励源：</w:t>
      </w:r>
    </w:p>
    <w:p w14:paraId="357EC308">
      <w:pPr>
        <w:pageBreakBefore w:val="0"/>
        <w:kinsoku/>
        <w:wordWrap/>
        <w:overflowPunct/>
        <w:topLinePunct w:val="0"/>
        <w:bidi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频率：4.6GHz；功率：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W。</w:t>
      </w:r>
    </w:p>
    <w:p w14:paraId="0BE7564A">
      <w:pPr>
        <w:pageBreakBefore w:val="0"/>
        <w:kinsoku/>
        <w:wordWrap/>
        <w:overflowPunct/>
        <w:topLinePunct w:val="0"/>
        <w:bidi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2）阴极（负高压）：</w:t>
      </w:r>
    </w:p>
    <w:p w14:paraId="45C74D00">
      <w:pPr>
        <w:pageBreakBefore w:val="0"/>
        <w:kinsoku/>
        <w:wordWrap/>
        <w:overflowPunct/>
        <w:topLinePunct w:val="0"/>
        <w:bidi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电压：≤</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48</w:t>
      </w:r>
      <w:r>
        <w:rPr>
          <w:rFonts w:hint="default" w:ascii="Times New Roman" w:hAnsi="Times New Roman" w:eastAsia="宋体" w:cs="Times New Roman"/>
          <w:color w:val="000000" w:themeColor="text1"/>
          <w:sz w:val="21"/>
          <w:szCs w:val="21"/>
          <w:highlight w:val="none"/>
          <w14:textFill>
            <w14:solidFill>
              <w14:schemeClr w14:val="tx1"/>
            </w14:solidFill>
          </w14:textFill>
        </w:rPr>
        <w:t>kV；电流：≤1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A。</w:t>
      </w:r>
    </w:p>
    <w:p w14:paraId="06FB2ADC">
      <w:pPr>
        <w:pageBreakBefore w:val="0"/>
        <w:numPr>
          <w:ilvl w:val="0"/>
          <w:numId w:val="1"/>
        </w:numPr>
        <w:kinsoku/>
        <w:wordWrap/>
        <w:overflowPunct/>
        <w:topLinePunct w:val="0"/>
        <w:bidi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钛泵：</w:t>
      </w:r>
    </w:p>
    <w:p w14:paraId="58A6E10F">
      <w:pPr>
        <w:pageBreakBefore w:val="0"/>
        <w:kinsoku/>
        <w:wordWrap/>
        <w:overflowPunct/>
        <w:topLinePunct w:val="0"/>
        <w:bidi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电压：4.5±0.5kV；电流：＜10uA。</w:t>
      </w:r>
    </w:p>
    <w:p w14:paraId="68FF2645">
      <w:pPr>
        <w:pageBreakBefore w:val="0"/>
        <w:numPr>
          <w:ilvl w:val="0"/>
          <w:numId w:val="1"/>
        </w:numPr>
        <w:kinsoku/>
        <w:wordWrap/>
        <w:overflowPunct/>
        <w:topLinePunct w:val="0"/>
        <w:bidi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磁线包：</w:t>
      </w:r>
    </w:p>
    <w:p w14:paraId="237ED476">
      <w:pPr>
        <w:pageBreakBefore w:val="0"/>
        <w:kinsoku/>
        <w:wordWrap/>
        <w:overflowPunct/>
        <w:topLinePunct w:val="0"/>
        <w:bidi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电流：≤3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A；电压：≤100V。</w:t>
      </w:r>
    </w:p>
    <w:p w14:paraId="2E3C003F">
      <w:pPr>
        <w:pageBreakBefore w:val="0"/>
        <w:numPr>
          <w:ilvl w:val="0"/>
          <w:numId w:val="1"/>
        </w:numPr>
        <w:kinsoku/>
        <w:wordWrap/>
        <w:overflowPunct/>
        <w:topLinePunct w:val="0"/>
        <w:bidi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灯丝（直流供电</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时</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14:paraId="49926ED9">
      <w:pPr>
        <w:pageBreakBefore w:val="0"/>
        <w:kinsoku/>
        <w:wordWrap/>
        <w:overflowPunct/>
        <w:topLinePunct w:val="0"/>
        <w:bidi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电压：</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sz w:val="21"/>
          <w:szCs w:val="21"/>
          <w:highlight w:val="none"/>
          <w14:textFill>
            <w14:solidFill>
              <w14:schemeClr w14:val="tx1"/>
            </w14:solidFill>
          </w14:textFill>
        </w:rPr>
        <w:t>V；电流：</w:t>
      </w:r>
      <w:r>
        <w:rPr>
          <w:rFonts w:hint="default" w:ascii="Times New Roman" w:hAnsi="Times New Roman" w:eastAsia="宋体" w:cs="Times New Roman"/>
          <w:color w:val="000000" w:themeColor="text1"/>
          <w:spacing w:val="-7"/>
          <w:highlight w:val="none"/>
          <w14:textFill>
            <w14:solidFill>
              <w14:schemeClr w14:val="tx1"/>
            </w14:solidFill>
          </w14:textFill>
        </w:rPr>
        <w:t>≤</w:t>
      </w:r>
      <w:r>
        <w:rPr>
          <w:rFonts w:hint="default" w:ascii="Times New Roman" w:hAnsi="Times New Roman" w:eastAsia="宋体" w:cs="Times New Roman"/>
          <w:color w:val="000000" w:themeColor="text1"/>
          <w:spacing w:val="-7"/>
          <w:highlight w:val="none"/>
          <w:lang w:eastAsia="zh-CN"/>
          <w14:textFill>
            <w14:solidFill>
              <w14:schemeClr w14:val="tx1"/>
            </w14:solidFill>
          </w14:textFill>
        </w:rPr>
        <w:t>14</w:t>
      </w:r>
      <w:r>
        <w:rPr>
          <w:rFonts w:hint="default" w:ascii="Times New Roman" w:hAnsi="Times New Roman" w:eastAsia="宋体" w:cs="Times New Roman"/>
          <w:color w:val="000000" w:themeColor="text1"/>
          <w:spacing w:val="-7"/>
          <w:highlight w:val="none"/>
          <w14:textFill>
            <w14:solidFill>
              <w14:schemeClr w14:val="tx1"/>
            </w14:solidFill>
          </w14:textFill>
        </w:rPr>
        <w:t>A</w:t>
      </w:r>
      <w:r>
        <w:rPr>
          <w:rFonts w:hint="default" w:ascii="Times New Roman" w:hAnsi="Times New Roman" w:eastAsia="宋体" w:cs="Times New Roman"/>
          <w:color w:val="000000" w:themeColor="text1"/>
          <w:sz w:val="21"/>
          <w:szCs w:val="21"/>
          <w:highlight w:val="none"/>
          <w14:textFill>
            <w14:solidFill>
              <w14:schemeClr w14:val="tx1"/>
            </w14:solidFill>
          </w14:textFill>
        </w:rPr>
        <w:t>；风冷流量：≥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22</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/h。</w:t>
      </w:r>
    </w:p>
    <w:p w14:paraId="1A3BEC44">
      <w:pPr>
        <w:pageBreakBefore w:val="0"/>
        <w:numPr>
          <w:ilvl w:val="0"/>
          <w:numId w:val="1"/>
        </w:numPr>
        <w:kinsoku/>
        <w:wordWrap/>
        <w:overflowPunct/>
        <w:topLinePunct w:val="0"/>
        <w:bidi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水冷：</w:t>
      </w:r>
    </w:p>
    <w:tbl>
      <w:tblPr>
        <w:tblStyle w:val="3"/>
        <w:tblW w:w="3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549"/>
        <w:gridCol w:w="1279"/>
        <w:gridCol w:w="1374"/>
        <w:gridCol w:w="1723"/>
      </w:tblGrid>
      <w:tr w14:paraId="09A9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76" w:type="pct"/>
            <w:shd w:val="clear" w:color="auto" w:fill="92D050"/>
            <w:noWrap w:val="0"/>
            <w:vAlign w:val="top"/>
          </w:tcPr>
          <w:p w14:paraId="7AC78DD2">
            <w:pPr>
              <w:pageBreakBefore w:val="0"/>
              <w:kinsoku/>
              <w:wordWrap/>
              <w:overflowPunct/>
              <w:topLinePunct w:val="0"/>
              <w:bidi w:val="0"/>
              <w:spacing w:line="36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1156" w:type="pct"/>
            <w:shd w:val="clear" w:color="auto" w:fill="92D050"/>
            <w:noWrap w:val="0"/>
            <w:vAlign w:val="top"/>
          </w:tcPr>
          <w:p w14:paraId="706FEB05">
            <w:pPr>
              <w:pageBreakBefore w:val="0"/>
              <w:kinsoku/>
              <w:wordWrap/>
              <w:overflowPunct/>
              <w:topLinePunct w:val="0"/>
              <w:bidi w:val="0"/>
              <w:spacing w:line="36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管路</w:t>
            </w:r>
          </w:p>
        </w:tc>
        <w:tc>
          <w:tcPr>
            <w:tcW w:w="954" w:type="pct"/>
            <w:shd w:val="clear" w:color="auto" w:fill="92D050"/>
            <w:noWrap w:val="0"/>
            <w:vAlign w:val="top"/>
          </w:tcPr>
          <w:p w14:paraId="118AA4E8">
            <w:pPr>
              <w:pageBreakBefore w:val="0"/>
              <w:kinsoku/>
              <w:wordWrap/>
              <w:overflowPunct/>
              <w:topLinePunct w:val="0"/>
              <w:bidi w:val="0"/>
              <w:spacing w:line="36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数量</w:t>
            </w:r>
          </w:p>
        </w:tc>
        <w:tc>
          <w:tcPr>
            <w:tcW w:w="1025" w:type="pct"/>
            <w:shd w:val="clear" w:color="auto" w:fill="92D050"/>
            <w:noWrap w:val="0"/>
            <w:vAlign w:val="top"/>
          </w:tcPr>
          <w:p w14:paraId="33DC95D2">
            <w:pPr>
              <w:pageBreakBefore w:val="0"/>
              <w:kinsoku/>
              <w:wordWrap/>
              <w:overflowPunct/>
              <w:topLinePunct w:val="0"/>
              <w:bidi w:val="0"/>
              <w:spacing w:line="36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流量</w:t>
            </w:r>
          </w:p>
        </w:tc>
        <w:tc>
          <w:tcPr>
            <w:tcW w:w="1286" w:type="pct"/>
            <w:shd w:val="clear" w:color="auto" w:fill="92D050"/>
            <w:noWrap w:val="0"/>
            <w:vAlign w:val="top"/>
          </w:tcPr>
          <w:p w14:paraId="20D9A02C">
            <w:pPr>
              <w:pageBreakBefore w:val="0"/>
              <w:kinsoku/>
              <w:wordWrap/>
              <w:overflowPunct/>
              <w:topLinePunct w:val="0"/>
              <w:bidi w:val="0"/>
              <w:spacing w:line="360" w:lineRule="auto"/>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压力</w:t>
            </w:r>
          </w:p>
        </w:tc>
      </w:tr>
      <w:tr w14:paraId="742F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pct"/>
            <w:noWrap w:val="0"/>
            <w:vAlign w:val="top"/>
          </w:tcPr>
          <w:p w14:paraId="5915D22C">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p>
        </w:tc>
        <w:tc>
          <w:tcPr>
            <w:tcW w:w="1156" w:type="pct"/>
            <w:noWrap w:val="0"/>
            <w:vAlign w:val="top"/>
          </w:tcPr>
          <w:p w14:paraId="42E38C44">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收集极</w:t>
            </w:r>
          </w:p>
        </w:tc>
        <w:tc>
          <w:tcPr>
            <w:tcW w:w="954" w:type="pct"/>
            <w:noWrap w:val="0"/>
            <w:vAlign w:val="top"/>
          </w:tcPr>
          <w:p w14:paraId="798DA2F0">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1路</w:t>
            </w:r>
          </w:p>
        </w:tc>
        <w:tc>
          <w:tcPr>
            <w:tcW w:w="1025" w:type="pct"/>
            <w:noWrap w:val="0"/>
            <w:vAlign w:val="top"/>
          </w:tcPr>
          <w:p w14:paraId="37A74466">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25</w:t>
            </w:r>
            <w:r>
              <w:rPr>
                <w:rFonts w:hint="default" w:ascii="Times New Roman" w:hAnsi="Times New Roman" w:cs="Times New Roman"/>
                <w:color w:val="000000" w:themeColor="text1"/>
                <w:sz w:val="21"/>
                <w:szCs w:val="21"/>
                <w:highlight w:val="none"/>
                <w14:textFill>
                  <w14:solidFill>
                    <w14:schemeClr w14:val="tx1"/>
                  </w14:solidFill>
                </w14:textFill>
              </w:rPr>
              <w:t>T/h</w:t>
            </w:r>
          </w:p>
        </w:tc>
        <w:tc>
          <w:tcPr>
            <w:tcW w:w="1286" w:type="pct"/>
            <w:noWrap w:val="0"/>
            <w:vAlign w:val="top"/>
          </w:tcPr>
          <w:p w14:paraId="38B8DEBA">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0.1~0.</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MPa</w:t>
            </w:r>
          </w:p>
        </w:tc>
      </w:tr>
      <w:tr w14:paraId="3213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pct"/>
            <w:noWrap w:val="0"/>
            <w:vAlign w:val="top"/>
          </w:tcPr>
          <w:p w14:paraId="61F95DCE">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w:t>
            </w:r>
          </w:p>
        </w:tc>
        <w:tc>
          <w:tcPr>
            <w:tcW w:w="1156" w:type="pct"/>
            <w:noWrap w:val="0"/>
            <w:vAlign w:val="top"/>
          </w:tcPr>
          <w:p w14:paraId="52C98947">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管体</w:t>
            </w:r>
          </w:p>
        </w:tc>
        <w:tc>
          <w:tcPr>
            <w:tcW w:w="954" w:type="pct"/>
            <w:noWrap w:val="0"/>
            <w:vAlign w:val="top"/>
          </w:tcPr>
          <w:p w14:paraId="63E65E01">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1路</w:t>
            </w:r>
          </w:p>
        </w:tc>
        <w:tc>
          <w:tcPr>
            <w:tcW w:w="1025" w:type="pct"/>
            <w:noWrap w:val="0"/>
            <w:vAlign w:val="top"/>
          </w:tcPr>
          <w:p w14:paraId="3D5C73A9">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≥1.2T/h</w:t>
            </w:r>
          </w:p>
        </w:tc>
        <w:tc>
          <w:tcPr>
            <w:tcW w:w="1286" w:type="pct"/>
            <w:noWrap w:val="0"/>
            <w:vAlign w:val="top"/>
          </w:tcPr>
          <w:p w14:paraId="15722138">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0.1~0.</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MPa</w:t>
            </w:r>
          </w:p>
        </w:tc>
      </w:tr>
      <w:tr w14:paraId="04F9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pct"/>
            <w:noWrap w:val="0"/>
            <w:vAlign w:val="top"/>
          </w:tcPr>
          <w:p w14:paraId="67A733F8">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w:t>
            </w:r>
          </w:p>
        </w:tc>
        <w:tc>
          <w:tcPr>
            <w:tcW w:w="1156" w:type="pct"/>
            <w:noWrap w:val="0"/>
            <w:vAlign w:val="top"/>
          </w:tcPr>
          <w:p w14:paraId="11920B9B">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窗和波导</w:t>
            </w:r>
          </w:p>
        </w:tc>
        <w:tc>
          <w:tcPr>
            <w:tcW w:w="954" w:type="pct"/>
            <w:noWrap w:val="0"/>
            <w:vAlign w:val="top"/>
          </w:tcPr>
          <w:p w14:paraId="4D9EAB0B">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路</w:t>
            </w:r>
          </w:p>
        </w:tc>
        <w:tc>
          <w:tcPr>
            <w:tcW w:w="1025" w:type="pct"/>
            <w:noWrap w:val="0"/>
            <w:vAlign w:val="top"/>
          </w:tcPr>
          <w:p w14:paraId="2A20A8A4">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≥0.5T/h</w:t>
            </w:r>
          </w:p>
        </w:tc>
        <w:tc>
          <w:tcPr>
            <w:tcW w:w="1286" w:type="pct"/>
            <w:noWrap w:val="0"/>
            <w:vAlign w:val="top"/>
          </w:tcPr>
          <w:p w14:paraId="5FB2BBDD">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0.1~0.</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MPa</w:t>
            </w:r>
          </w:p>
        </w:tc>
      </w:tr>
      <w:tr w14:paraId="4E14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pct"/>
            <w:noWrap w:val="0"/>
            <w:vAlign w:val="top"/>
          </w:tcPr>
          <w:p w14:paraId="2D3A54D5">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w:t>
            </w:r>
          </w:p>
        </w:tc>
        <w:tc>
          <w:tcPr>
            <w:tcW w:w="1156" w:type="pct"/>
            <w:noWrap w:val="0"/>
            <w:vAlign w:val="top"/>
          </w:tcPr>
          <w:p w14:paraId="4377E9DC">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磁线包</w:t>
            </w:r>
          </w:p>
        </w:tc>
        <w:tc>
          <w:tcPr>
            <w:tcW w:w="954" w:type="pct"/>
            <w:noWrap w:val="0"/>
            <w:vAlign w:val="top"/>
          </w:tcPr>
          <w:p w14:paraId="3EFD5AAC">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1路</w:t>
            </w:r>
          </w:p>
        </w:tc>
        <w:tc>
          <w:tcPr>
            <w:tcW w:w="1025" w:type="pct"/>
            <w:noWrap w:val="0"/>
            <w:vAlign w:val="top"/>
          </w:tcPr>
          <w:p w14:paraId="2FB2D352">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cs="Times New Roman"/>
                <w:color w:val="000000" w:themeColor="text1"/>
                <w:sz w:val="21"/>
                <w:szCs w:val="21"/>
                <w:highlight w:val="none"/>
                <w14:textFill>
                  <w14:solidFill>
                    <w14:schemeClr w14:val="tx1"/>
                  </w14:solidFill>
                </w14:textFill>
              </w:rPr>
              <w:t>T/h</w:t>
            </w:r>
          </w:p>
        </w:tc>
        <w:tc>
          <w:tcPr>
            <w:tcW w:w="1286" w:type="pct"/>
            <w:noWrap w:val="0"/>
            <w:vAlign w:val="top"/>
          </w:tcPr>
          <w:p w14:paraId="4F8469F8">
            <w:pPr>
              <w:pageBreakBefore w:val="0"/>
              <w:kinsoku/>
              <w:wordWrap/>
              <w:overflowPunct/>
              <w:topLinePunct w:val="0"/>
              <w:bidi w:val="0"/>
              <w:spacing w:line="360" w:lineRule="auto"/>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0.1~0.</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MPa</w:t>
            </w:r>
          </w:p>
        </w:tc>
      </w:tr>
    </w:tbl>
    <w:p w14:paraId="4377CDD1">
      <w:pPr>
        <w:pageBreakBefore w:val="0"/>
        <w:kinsoku/>
        <w:wordWrap/>
        <w:overflowPunct/>
        <w:topLinePunct w:val="0"/>
        <w:bidi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p w14:paraId="1E3696F1">
      <w:pPr>
        <w:pageBreakBefore w:val="0"/>
        <w:kinsoku/>
        <w:wordWrap/>
        <w:overflowPunct/>
        <w:topLinePunct w:val="0"/>
        <w:bidi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7）环境：</w:t>
      </w:r>
    </w:p>
    <w:p w14:paraId="7271E7EA">
      <w:pPr>
        <w:pageBreakBefore w:val="0"/>
        <w:kinsoku/>
        <w:wordWrap/>
        <w:overflowPunct/>
        <w:topLinePunct w:val="0"/>
        <w:bidi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工作温度：0℃~50℃；相对湿度：10%~80%。</w:t>
      </w:r>
    </w:p>
    <w:p w14:paraId="1E47F3BA">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7AA434F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p>
    <w:p w14:paraId="152122D1">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2.3、 技术性能指标要求</w:t>
      </w:r>
    </w:p>
    <w:p w14:paraId="31B37124">
      <w:pPr>
        <w:pageBreakBefore w:val="0"/>
        <w:widowControl/>
        <w:kinsoku/>
        <w:wordWrap/>
        <w:overflowPunct/>
        <w:topLinePunct w:val="0"/>
        <w:autoSpaceDE w:val="0"/>
        <w:autoSpaceDN w:val="0"/>
        <w:bidi w:val="0"/>
        <w:spacing w:line="36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主要技术指标</w:t>
      </w:r>
    </w:p>
    <w:tbl>
      <w:tblPr>
        <w:tblStyle w:val="3"/>
        <w:tblW w:w="3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76"/>
        <w:gridCol w:w="3423"/>
      </w:tblGrid>
      <w:tr w14:paraId="6803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482" w:type="pct"/>
            <w:shd w:val="clear" w:color="auto" w:fill="92D050"/>
            <w:noWrap w:val="0"/>
            <w:vAlign w:val="bottom"/>
          </w:tcPr>
          <w:p w14:paraId="60201EE5">
            <w:pPr>
              <w:pageBreakBefore w:val="0"/>
              <w:widowControl/>
              <w:kinsoku/>
              <w:wordWrap/>
              <w:overflowPunct/>
              <w:topLinePunct w:val="0"/>
              <w:autoSpaceDE w:val="0"/>
              <w:autoSpaceDN w:val="0"/>
              <w:bidi w:val="0"/>
              <w:spacing w:line="360" w:lineRule="auto"/>
              <w:ind w:firstLine="422" w:firstLineChars="20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技术指标</w:t>
            </w:r>
          </w:p>
        </w:tc>
        <w:tc>
          <w:tcPr>
            <w:tcW w:w="2517" w:type="pct"/>
            <w:shd w:val="clear" w:color="auto" w:fill="92D050"/>
            <w:noWrap w:val="0"/>
            <w:vAlign w:val="bottom"/>
          </w:tcPr>
          <w:p w14:paraId="318EA74F">
            <w:pPr>
              <w:pageBreakBefore w:val="0"/>
              <w:widowControl/>
              <w:kinsoku/>
              <w:wordWrap/>
              <w:overflowPunct/>
              <w:topLinePunct w:val="0"/>
              <w:autoSpaceDE w:val="0"/>
              <w:autoSpaceDN w:val="0"/>
              <w:bidi w:val="0"/>
              <w:spacing w:line="360" w:lineRule="auto"/>
              <w:ind w:firstLine="422" w:firstLineChars="20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数值</w:t>
            </w:r>
          </w:p>
        </w:tc>
      </w:tr>
      <w:tr w14:paraId="36F0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482" w:type="pct"/>
            <w:noWrap w:val="0"/>
            <w:vAlign w:val="bottom"/>
          </w:tcPr>
          <w:p w14:paraId="1A26994F">
            <w:pPr>
              <w:pageBreakBefore w:val="0"/>
              <w:widowControl/>
              <w:kinsoku/>
              <w:wordWrap/>
              <w:overflowPunct/>
              <w:topLinePunct w:val="0"/>
              <w:autoSpaceDE w:val="0"/>
              <w:autoSpaceDN w:val="0"/>
              <w:bidi w:val="0"/>
              <w:spacing w:line="360" w:lineRule="auto"/>
              <w:ind w:firstLine="420" w:firstLineChars="20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中心工作频率</w:t>
            </w:r>
          </w:p>
        </w:tc>
        <w:tc>
          <w:tcPr>
            <w:tcW w:w="2517" w:type="pct"/>
            <w:noWrap w:val="0"/>
            <w:vAlign w:val="bottom"/>
          </w:tcPr>
          <w:p w14:paraId="5047767A">
            <w:pPr>
              <w:pageBreakBefore w:val="0"/>
              <w:widowControl/>
              <w:kinsoku/>
              <w:wordWrap/>
              <w:overflowPunct/>
              <w:topLinePunct w:val="0"/>
              <w:autoSpaceDE w:val="0"/>
              <w:autoSpaceDN w:val="0"/>
              <w:bidi w:val="0"/>
              <w:spacing w:line="360" w:lineRule="auto"/>
              <w:ind w:firstLine="420" w:firstLineChars="20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4.6GHz</w:t>
            </w:r>
          </w:p>
        </w:tc>
      </w:tr>
      <w:tr w14:paraId="693E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482" w:type="pct"/>
            <w:noWrap w:val="0"/>
            <w:vAlign w:val="bottom"/>
          </w:tcPr>
          <w:p w14:paraId="251A245E">
            <w:pPr>
              <w:pageBreakBefore w:val="0"/>
              <w:widowControl/>
              <w:kinsoku/>
              <w:wordWrap/>
              <w:overflowPunct/>
              <w:topLinePunct w:val="0"/>
              <w:autoSpaceDE w:val="0"/>
              <w:autoSpaceDN w:val="0"/>
              <w:bidi w:val="0"/>
              <w:spacing w:line="360" w:lineRule="auto"/>
              <w:ind w:firstLine="420" w:firstLineChars="20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最大输出功率</w:t>
            </w:r>
          </w:p>
        </w:tc>
        <w:tc>
          <w:tcPr>
            <w:tcW w:w="2517" w:type="pct"/>
            <w:noWrap w:val="0"/>
            <w:vAlign w:val="bottom"/>
          </w:tcPr>
          <w:p w14:paraId="0F711BC7">
            <w:pPr>
              <w:pageBreakBefore w:val="0"/>
              <w:widowControl/>
              <w:kinsoku/>
              <w:wordWrap/>
              <w:overflowPunct/>
              <w:topLinePunct w:val="0"/>
              <w:autoSpaceDE w:val="0"/>
              <w:autoSpaceDN w:val="0"/>
              <w:bidi w:val="0"/>
              <w:spacing w:line="360" w:lineRule="auto"/>
              <w:ind w:firstLine="420" w:firstLineChars="20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25</w:t>
            </w:r>
            <w:r>
              <w:rPr>
                <w:rFonts w:hint="default" w:ascii="Times New Roman" w:hAnsi="Times New Roman" w:cs="Times New Roman"/>
                <w:color w:val="000000" w:themeColor="text1"/>
                <w:kern w:val="0"/>
                <w:sz w:val="21"/>
                <w:szCs w:val="21"/>
                <w:highlight w:val="none"/>
                <w14:textFill>
                  <w14:solidFill>
                    <w14:schemeClr w14:val="tx1"/>
                  </w14:solidFill>
                </w14:textFill>
              </w:rPr>
              <w:t>0kW</w:t>
            </w:r>
          </w:p>
        </w:tc>
      </w:tr>
      <w:tr w14:paraId="23FA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482" w:type="pct"/>
            <w:noWrap w:val="0"/>
            <w:vAlign w:val="bottom"/>
          </w:tcPr>
          <w:p w14:paraId="2D122B40">
            <w:pPr>
              <w:pageBreakBefore w:val="0"/>
              <w:widowControl/>
              <w:kinsoku/>
              <w:wordWrap/>
              <w:overflowPunct/>
              <w:topLinePunct w:val="0"/>
              <w:autoSpaceDE w:val="0"/>
              <w:autoSpaceDN w:val="0"/>
              <w:bidi w:val="0"/>
              <w:spacing w:line="360" w:lineRule="auto"/>
              <w:ind w:firstLine="420" w:firstLineChars="20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运行</w:t>
            </w:r>
            <w:r>
              <w:rPr>
                <w:rFonts w:hint="default" w:ascii="Times New Roman" w:hAnsi="Times New Roman" w:cs="Times New Roman"/>
                <w:color w:val="000000" w:themeColor="text1"/>
                <w:kern w:val="0"/>
                <w:sz w:val="21"/>
                <w:szCs w:val="21"/>
                <w:highlight w:val="none"/>
                <w14:textFill>
                  <w14:solidFill>
                    <w14:schemeClr w14:val="tx1"/>
                  </w14:solidFill>
                </w14:textFill>
              </w:rPr>
              <w:t>脉宽</w:t>
            </w:r>
          </w:p>
        </w:tc>
        <w:tc>
          <w:tcPr>
            <w:tcW w:w="2517" w:type="pct"/>
            <w:noWrap w:val="0"/>
            <w:vAlign w:val="bottom"/>
          </w:tcPr>
          <w:p w14:paraId="13F755B8">
            <w:pPr>
              <w:pageBreakBefore w:val="0"/>
              <w:widowControl/>
              <w:kinsoku/>
              <w:wordWrap/>
              <w:overflowPunct/>
              <w:topLinePunct w:val="0"/>
              <w:autoSpaceDE w:val="0"/>
              <w:autoSpaceDN w:val="0"/>
              <w:bidi w:val="0"/>
              <w:spacing w:line="360" w:lineRule="auto"/>
              <w:ind w:firstLine="420" w:firstLineChars="20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≥1000秒</w:t>
            </w:r>
          </w:p>
        </w:tc>
      </w:tr>
      <w:tr w14:paraId="34B6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2482" w:type="pct"/>
            <w:noWrap w:val="0"/>
            <w:vAlign w:val="bottom"/>
          </w:tcPr>
          <w:p w14:paraId="4889A68E">
            <w:pPr>
              <w:pageBreakBefore w:val="0"/>
              <w:widowControl/>
              <w:kinsoku/>
              <w:wordWrap/>
              <w:overflowPunct/>
              <w:topLinePunct w:val="0"/>
              <w:autoSpaceDE w:val="0"/>
              <w:autoSpaceDN w:val="0"/>
              <w:bidi w:val="0"/>
              <w:spacing w:line="360" w:lineRule="auto"/>
              <w:ind w:firstLine="420" w:firstLineChars="200"/>
              <w:jc w:val="center"/>
              <w:textAlignment w:val="auto"/>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管体电流</w:t>
            </w:r>
          </w:p>
        </w:tc>
        <w:tc>
          <w:tcPr>
            <w:tcW w:w="2517" w:type="pct"/>
            <w:noWrap w:val="0"/>
            <w:vAlign w:val="bottom"/>
          </w:tcPr>
          <w:p w14:paraId="4F13EFA2">
            <w:pPr>
              <w:pageBreakBefore w:val="0"/>
              <w:widowControl/>
              <w:kinsoku/>
              <w:wordWrap/>
              <w:overflowPunct/>
              <w:topLinePunct w:val="0"/>
              <w:autoSpaceDE w:val="0"/>
              <w:autoSpaceDN w:val="0"/>
              <w:bidi w:val="0"/>
              <w:spacing w:line="360" w:lineRule="auto"/>
              <w:ind w:firstLine="420" w:firstLineChars="200"/>
              <w:jc w:val="center"/>
              <w:textAlignment w:val="auto"/>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&lt;100mA</w:t>
            </w:r>
          </w:p>
        </w:tc>
      </w:tr>
    </w:tbl>
    <w:p w14:paraId="16E3486B">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b/>
          <w:bCs/>
          <w:color w:val="000000" w:themeColor="text1"/>
          <w:sz w:val="24"/>
          <w:szCs w:val="24"/>
          <w:highlight w:val="none"/>
          <w14:textFill>
            <w14:solidFill>
              <w14:schemeClr w14:val="tx1"/>
            </w14:solidFill>
          </w14:textFill>
        </w:rPr>
      </w:pPr>
    </w:p>
    <w:p w14:paraId="05176283">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电气与微波接口要求</w:t>
      </w:r>
    </w:p>
    <w:tbl>
      <w:tblPr>
        <w:tblStyle w:val="3"/>
        <w:tblpPr w:leftFromText="180" w:rightFromText="180" w:vertAnchor="text" w:horzAnchor="page" w:tblpX="1856" w:tblpY="92"/>
        <w:tblOverlap w:val="never"/>
        <w:tblW w:w="8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8"/>
        <w:gridCol w:w="2978"/>
        <w:gridCol w:w="1924"/>
      </w:tblGrid>
      <w:tr w14:paraId="36D5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298" w:type="dxa"/>
            <w:shd w:val="clear" w:color="auto" w:fill="92D050"/>
            <w:noWrap w:val="0"/>
            <w:vAlign w:val="center"/>
          </w:tcPr>
          <w:p w14:paraId="478F43BA">
            <w:pPr>
              <w:keepNext w:val="0"/>
              <w:keepLines w:val="0"/>
              <w:pageBreakBefore w:val="0"/>
              <w:widowControl/>
              <w:kinsoku/>
              <w:wordWrap/>
              <w:overflowPunct/>
              <w:topLinePunct w:val="0"/>
              <w:autoSpaceDE w:val="0"/>
              <w:autoSpaceDN w:val="0"/>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接口名称</w:t>
            </w:r>
          </w:p>
        </w:tc>
        <w:tc>
          <w:tcPr>
            <w:tcW w:w="2978" w:type="dxa"/>
            <w:shd w:val="clear" w:color="auto" w:fill="92D050"/>
            <w:noWrap w:val="0"/>
            <w:vAlign w:val="center"/>
          </w:tcPr>
          <w:p w14:paraId="656EFC5B">
            <w:pPr>
              <w:keepNext w:val="0"/>
              <w:keepLines w:val="0"/>
              <w:pageBreakBefore w:val="0"/>
              <w:widowControl/>
              <w:kinsoku/>
              <w:wordWrap/>
              <w:overflowPunct/>
              <w:topLinePunct w:val="0"/>
              <w:autoSpaceDE w:val="0"/>
              <w:autoSpaceDN w:val="0"/>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要求</w:t>
            </w:r>
          </w:p>
        </w:tc>
        <w:tc>
          <w:tcPr>
            <w:tcW w:w="1924" w:type="dxa"/>
            <w:shd w:val="clear" w:color="auto" w:fill="92D050"/>
            <w:noWrap w:val="0"/>
            <w:vAlign w:val="center"/>
          </w:tcPr>
          <w:p w14:paraId="40161E63">
            <w:pPr>
              <w:keepNext w:val="0"/>
              <w:keepLines w:val="0"/>
              <w:pageBreakBefore w:val="0"/>
              <w:widowControl/>
              <w:kinsoku/>
              <w:wordWrap/>
              <w:overflowPunct/>
              <w:topLinePunct w:val="0"/>
              <w:autoSpaceDE w:val="0"/>
              <w:autoSpaceDN w:val="0"/>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说明</w:t>
            </w:r>
          </w:p>
        </w:tc>
      </w:tr>
      <w:tr w14:paraId="1FA2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298" w:type="dxa"/>
            <w:noWrap w:val="0"/>
            <w:vAlign w:val="top"/>
          </w:tcPr>
          <w:p w14:paraId="6E9DF0D6">
            <w:pPr>
              <w:pStyle w:val="6"/>
              <w:spacing w:before="130" w:line="219" w:lineRule="auto"/>
              <w:ind w:left="117"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磁线包供电接口</w:t>
            </w:r>
          </w:p>
        </w:tc>
        <w:tc>
          <w:tcPr>
            <w:tcW w:w="2978" w:type="dxa"/>
            <w:noWrap w:val="0"/>
            <w:vAlign w:val="top"/>
          </w:tcPr>
          <w:p w14:paraId="6782B442">
            <w:pPr>
              <w:spacing w:before="170" w:line="188" w:lineRule="auto"/>
              <w:ind w:left="105"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AMPHENOL-MS3102A18P</w:t>
            </w:r>
          </w:p>
        </w:tc>
        <w:tc>
          <w:tcPr>
            <w:tcW w:w="1924" w:type="dxa"/>
            <w:noWrap w:val="0"/>
            <w:vAlign w:val="top"/>
          </w:tcPr>
          <w:p w14:paraId="7BC5BECF">
            <w:pPr>
              <w:pStyle w:val="6"/>
              <w:spacing w:before="130" w:line="219" w:lineRule="auto"/>
              <w:ind w:left="115"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插座</w:t>
            </w:r>
          </w:p>
        </w:tc>
      </w:tr>
      <w:tr w14:paraId="71A6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298" w:type="dxa"/>
            <w:noWrap w:val="0"/>
            <w:vAlign w:val="top"/>
          </w:tcPr>
          <w:p w14:paraId="44319605">
            <w:pPr>
              <w:pStyle w:val="6"/>
              <w:spacing w:before="130" w:line="219" w:lineRule="auto"/>
              <w:ind w:left="118"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灯丝供电负极接口</w:t>
            </w:r>
          </w:p>
        </w:tc>
        <w:tc>
          <w:tcPr>
            <w:tcW w:w="2978" w:type="dxa"/>
            <w:noWrap w:val="0"/>
            <w:vAlign w:val="top"/>
          </w:tcPr>
          <w:p w14:paraId="23A4C6E6">
            <w:pPr>
              <w:pStyle w:val="6"/>
              <w:spacing w:before="131" w:line="219" w:lineRule="auto"/>
              <w:ind w:left="118"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外接</w:t>
            </w:r>
            <w:r>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t>Φ10</w:t>
            </w:r>
            <w:r>
              <w:rPr>
                <w:rFonts w:hint="default" w:ascii="Times New Roman" w:hAnsi="Times New Roman" w:cs="Times New Roman"/>
                <w:color w:val="000000" w:themeColor="text1"/>
                <w:spacing w:val="-2"/>
                <w:sz w:val="21"/>
                <w:szCs w:val="21"/>
                <w:highlight w:val="none"/>
                <w14:textFill>
                  <w14:solidFill>
                    <w14:schemeClr w14:val="tx1"/>
                  </w14:solidFill>
                </w14:textFill>
              </w:rPr>
              <w:t>铜鼻子</w:t>
            </w:r>
          </w:p>
        </w:tc>
        <w:tc>
          <w:tcPr>
            <w:tcW w:w="1924" w:type="dxa"/>
            <w:noWrap w:val="0"/>
            <w:vAlign w:val="top"/>
          </w:tcPr>
          <w:p w14:paraId="44525A94">
            <w:pPr>
              <w:pStyle w:val="6"/>
              <w:spacing w:before="130" w:line="219" w:lineRule="auto"/>
              <w:ind w:left="115"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黄色热缩管</w:t>
            </w:r>
          </w:p>
        </w:tc>
      </w:tr>
      <w:tr w14:paraId="719B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3298" w:type="dxa"/>
            <w:noWrap w:val="0"/>
            <w:vAlign w:val="top"/>
          </w:tcPr>
          <w:p w14:paraId="21C3842C">
            <w:pPr>
              <w:pStyle w:val="6"/>
              <w:spacing w:before="131" w:line="219" w:lineRule="auto"/>
              <w:ind w:left="126"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lang w:eastAsia="zh-CN"/>
                <w14:textFill>
                  <w14:solidFill>
                    <w14:schemeClr w14:val="tx1"/>
                  </w14:solidFill>
                </w14:textFill>
              </w:rPr>
              <w:t>负高压（灯丝供电正极）接口</w:t>
            </w:r>
          </w:p>
        </w:tc>
        <w:tc>
          <w:tcPr>
            <w:tcW w:w="2978" w:type="dxa"/>
            <w:noWrap w:val="0"/>
            <w:vAlign w:val="top"/>
          </w:tcPr>
          <w:p w14:paraId="312497E4">
            <w:pPr>
              <w:pStyle w:val="6"/>
              <w:spacing w:before="132" w:line="219" w:lineRule="auto"/>
              <w:ind w:left="118"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外接</w:t>
            </w:r>
            <w:r>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t>Φ10</w:t>
            </w:r>
            <w:r>
              <w:rPr>
                <w:rFonts w:hint="default" w:ascii="Times New Roman" w:hAnsi="Times New Roman" w:cs="Times New Roman"/>
                <w:color w:val="000000" w:themeColor="text1"/>
                <w:spacing w:val="-2"/>
                <w:sz w:val="21"/>
                <w:szCs w:val="21"/>
                <w:highlight w:val="none"/>
                <w14:textFill>
                  <w14:solidFill>
                    <w14:schemeClr w14:val="tx1"/>
                  </w14:solidFill>
                </w14:textFill>
              </w:rPr>
              <w:t>铜鼻子</w:t>
            </w:r>
          </w:p>
        </w:tc>
        <w:tc>
          <w:tcPr>
            <w:tcW w:w="1924" w:type="dxa"/>
            <w:noWrap w:val="0"/>
            <w:vAlign w:val="top"/>
          </w:tcPr>
          <w:p w14:paraId="41B89B70">
            <w:pPr>
              <w:pStyle w:val="6"/>
              <w:spacing w:before="131" w:line="219" w:lineRule="auto"/>
              <w:ind w:left="121"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4"/>
                <w:sz w:val="21"/>
                <w:szCs w:val="21"/>
                <w:highlight w:val="none"/>
                <w14:textFill>
                  <w14:solidFill>
                    <w14:schemeClr w14:val="tx1"/>
                  </w14:solidFill>
                </w14:textFill>
              </w:rPr>
              <w:t>红色热缩管</w:t>
            </w:r>
          </w:p>
        </w:tc>
      </w:tr>
      <w:tr w14:paraId="515C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3298" w:type="dxa"/>
            <w:noWrap w:val="0"/>
            <w:vAlign w:val="top"/>
          </w:tcPr>
          <w:p w14:paraId="446C8AAD">
            <w:pPr>
              <w:pStyle w:val="6"/>
              <w:spacing w:before="134" w:line="219" w:lineRule="auto"/>
              <w:ind w:left="117"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微波输入接口</w:t>
            </w:r>
          </w:p>
        </w:tc>
        <w:tc>
          <w:tcPr>
            <w:tcW w:w="2978" w:type="dxa"/>
            <w:noWrap w:val="0"/>
            <w:vAlign w:val="top"/>
          </w:tcPr>
          <w:p w14:paraId="5E353789">
            <w:pPr>
              <w:spacing w:before="173" w:line="188" w:lineRule="auto"/>
              <w:ind w:left="119"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pacing w:val="-4"/>
                <w:sz w:val="21"/>
                <w:szCs w:val="21"/>
                <w:highlight w:val="none"/>
                <w14:textFill>
                  <w14:solidFill>
                    <w14:schemeClr w14:val="tx1"/>
                  </w14:solidFill>
                </w14:textFill>
              </w:rPr>
              <w:t>SMAK</w:t>
            </w:r>
          </w:p>
        </w:tc>
        <w:tc>
          <w:tcPr>
            <w:tcW w:w="1924" w:type="dxa"/>
            <w:noWrap w:val="0"/>
            <w:vAlign w:val="top"/>
          </w:tcPr>
          <w:p w14:paraId="44DECA3F">
            <w:pPr>
              <w:rPr>
                <w:rFonts w:hint="default" w:ascii="Times New Roman" w:hAnsi="Times New Roman" w:cs="Times New Roman"/>
                <w:color w:val="000000" w:themeColor="text1"/>
                <w:sz w:val="21"/>
                <w:szCs w:val="21"/>
                <w:highlight w:val="none"/>
                <w14:textFill>
                  <w14:solidFill>
                    <w14:schemeClr w14:val="tx1"/>
                  </w14:solidFill>
                </w14:textFill>
              </w:rPr>
            </w:pPr>
          </w:p>
        </w:tc>
      </w:tr>
      <w:tr w14:paraId="5FA2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3298" w:type="dxa"/>
            <w:noWrap w:val="0"/>
            <w:vAlign w:val="top"/>
          </w:tcPr>
          <w:p w14:paraId="1D25CD72">
            <w:pPr>
              <w:spacing w:line="303" w:lineRule="auto"/>
              <w:rPr>
                <w:rFonts w:hint="default" w:ascii="Times New Roman" w:hAnsi="Times New Roman" w:cs="Times New Roman"/>
                <w:color w:val="000000" w:themeColor="text1"/>
                <w:sz w:val="21"/>
                <w:szCs w:val="21"/>
                <w:highlight w:val="none"/>
                <w14:textFill>
                  <w14:solidFill>
                    <w14:schemeClr w14:val="tx1"/>
                  </w14:solidFill>
                </w14:textFill>
              </w:rPr>
            </w:pPr>
          </w:p>
          <w:p w14:paraId="2C33760F">
            <w:pPr>
              <w:pStyle w:val="6"/>
              <w:spacing w:before="78" w:line="219" w:lineRule="auto"/>
              <w:ind w:left="117"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微波输出接口</w:t>
            </w:r>
          </w:p>
        </w:tc>
        <w:tc>
          <w:tcPr>
            <w:tcW w:w="2978" w:type="dxa"/>
            <w:noWrap w:val="0"/>
            <w:vAlign w:val="top"/>
          </w:tcPr>
          <w:p w14:paraId="0DF4A024">
            <w:pPr>
              <w:spacing w:before="174" w:line="188" w:lineRule="auto"/>
              <w:ind w:left="108"/>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pacing w:val="-1"/>
                <w:sz w:val="21"/>
                <w:szCs w:val="21"/>
                <w:highlight w:val="none"/>
                <w14:textFill>
                  <w14:solidFill>
                    <w14:schemeClr w14:val="tx1"/>
                  </w14:solidFill>
                </w14:textFill>
              </w:rPr>
              <w:t>BJ48</w:t>
            </w:r>
          </w:p>
          <w:p w14:paraId="0986F890">
            <w:pPr>
              <w:spacing w:before="280" w:line="188" w:lineRule="auto"/>
              <w:ind w:left="107"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pacing w:val="-3"/>
                <w:sz w:val="21"/>
                <w:szCs w:val="21"/>
                <w:highlight w:val="none"/>
                <w14:textFill>
                  <w14:solidFill>
                    <w14:schemeClr w14:val="tx1"/>
                  </w14:solidFill>
                </w14:textFill>
              </w:rPr>
              <w:t>47.55mm×22.</w:t>
            </w:r>
            <w:r>
              <w:rPr>
                <w:rFonts w:hint="default" w:ascii="Times New Roman" w:hAnsi="Times New Roman" w:eastAsia="Times New Roman" w:cs="Times New Roman"/>
                <w:color w:val="000000" w:themeColor="text1"/>
                <w:spacing w:val="-20"/>
                <w:sz w:val="21"/>
                <w:szCs w:val="21"/>
                <w:highlight w:val="none"/>
                <w14:textFill>
                  <w14:solidFill>
                    <w14:schemeClr w14:val="tx1"/>
                  </w14:solidFill>
                </w14:textFill>
              </w:rPr>
              <w:t xml:space="preserve"> </w:t>
            </w:r>
            <w:r>
              <w:rPr>
                <w:rFonts w:hint="default" w:ascii="Times New Roman" w:hAnsi="Times New Roman" w:eastAsia="Times New Roman" w:cs="Times New Roman"/>
                <w:color w:val="000000" w:themeColor="text1"/>
                <w:spacing w:val="-3"/>
                <w:sz w:val="21"/>
                <w:szCs w:val="21"/>
                <w:highlight w:val="none"/>
                <w14:textFill>
                  <w14:solidFill>
                    <w14:schemeClr w14:val="tx1"/>
                  </w14:solidFill>
                </w14:textFill>
              </w:rPr>
              <w:t>15mm</w:t>
            </w:r>
          </w:p>
        </w:tc>
        <w:tc>
          <w:tcPr>
            <w:tcW w:w="1924" w:type="dxa"/>
            <w:noWrap w:val="0"/>
            <w:vAlign w:val="top"/>
          </w:tcPr>
          <w:p w14:paraId="714C2560">
            <w:pPr>
              <w:rPr>
                <w:rFonts w:hint="default" w:ascii="Times New Roman" w:hAnsi="Times New Roman" w:cs="Times New Roman"/>
                <w:color w:val="000000" w:themeColor="text1"/>
                <w:sz w:val="21"/>
                <w:szCs w:val="21"/>
                <w:highlight w:val="none"/>
                <w14:textFill>
                  <w14:solidFill>
                    <w14:schemeClr w14:val="tx1"/>
                  </w14:solidFill>
                </w14:textFill>
              </w:rPr>
            </w:pPr>
          </w:p>
        </w:tc>
      </w:tr>
      <w:tr w14:paraId="57A8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3298" w:type="dxa"/>
            <w:noWrap w:val="0"/>
            <w:vAlign w:val="top"/>
          </w:tcPr>
          <w:p w14:paraId="192E339B">
            <w:pPr>
              <w:spacing w:line="304" w:lineRule="auto"/>
              <w:rPr>
                <w:rFonts w:hint="default" w:ascii="Times New Roman" w:hAnsi="Times New Roman" w:cs="Times New Roman"/>
                <w:color w:val="000000" w:themeColor="text1"/>
                <w:sz w:val="21"/>
                <w:szCs w:val="21"/>
                <w:highlight w:val="none"/>
                <w14:textFill>
                  <w14:solidFill>
                    <w14:schemeClr w14:val="tx1"/>
                  </w14:solidFill>
                </w14:textFill>
              </w:rPr>
            </w:pPr>
          </w:p>
          <w:p w14:paraId="0AB4EF5A">
            <w:pPr>
              <w:pStyle w:val="6"/>
              <w:spacing w:before="78" w:line="219" w:lineRule="auto"/>
              <w:ind w:left="116"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3"/>
                <w:sz w:val="21"/>
                <w:szCs w:val="21"/>
                <w:highlight w:val="none"/>
                <w14:textFill>
                  <w14:solidFill>
                    <w14:schemeClr w14:val="tx1"/>
                  </w14:solidFill>
                </w14:textFill>
              </w:rPr>
              <w:t>接地端子</w:t>
            </w:r>
          </w:p>
        </w:tc>
        <w:tc>
          <w:tcPr>
            <w:tcW w:w="2978" w:type="dxa"/>
            <w:noWrap w:val="0"/>
            <w:vAlign w:val="top"/>
          </w:tcPr>
          <w:p w14:paraId="152C3D20">
            <w:pPr>
              <w:pStyle w:val="6"/>
              <w:spacing w:before="134" w:line="219" w:lineRule="auto"/>
              <w:ind w:left="119"/>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4"/>
                <w:sz w:val="21"/>
                <w:szCs w:val="21"/>
                <w:highlight w:val="none"/>
                <w14:textFill>
                  <w14:solidFill>
                    <w14:schemeClr w14:val="tx1"/>
                  </w14:solidFill>
                </w14:textFill>
              </w:rPr>
              <w:t>管体</w:t>
            </w:r>
            <w:r>
              <w:rPr>
                <w:rFonts w:hint="default" w:ascii="Times New Roman" w:hAnsi="Times New Roman" w:eastAsia="Times New Roman" w:cs="Times New Roman"/>
                <w:color w:val="000000" w:themeColor="text1"/>
                <w:spacing w:val="-4"/>
                <w:sz w:val="21"/>
                <w:szCs w:val="21"/>
                <w:highlight w:val="none"/>
                <w14:textFill>
                  <w14:solidFill>
                    <w14:schemeClr w14:val="tx1"/>
                  </w14:solidFill>
                </w14:textFill>
              </w:rPr>
              <w:t>Φ10</w:t>
            </w:r>
          </w:p>
          <w:p w14:paraId="00689302">
            <w:pPr>
              <w:pStyle w:val="6"/>
              <w:spacing w:before="214" w:line="219" w:lineRule="auto"/>
              <w:ind w:left="121" w:left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3"/>
                <w:sz w:val="21"/>
                <w:szCs w:val="21"/>
                <w:highlight w:val="none"/>
                <w14:textFill>
                  <w14:solidFill>
                    <w14:schemeClr w14:val="tx1"/>
                  </w14:solidFill>
                </w14:textFill>
              </w:rPr>
              <w:t>收集极</w:t>
            </w:r>
            <w:r>
              <w:rPr>
                <w:rFonts w:hint="default" w:ascii="Times New Roman" w:hAnsi="Times New Roman" w:eastAsia="Times New Roman" w:cs="Times New Roman"/>
                <w:color w:val="000000" w:themeColor="text1"/>
                <w:spacing w:val="-3"/>
                <w:sz w:val="21"/>
                <w:szCs w:val="21"/>
                <w:highlight w:val="none"/>
                <w14:textFill>
                  <w14:solidFill>
                    <w14:schemeClr w14:val="tx1"/>
                  </w14:solidFill>
                </w14:textFill>
              </w:rPr>
              <w:t>Φ10</w:t>
            </w:r>
          </w:p>
        </w:tc>
        <w:tc>
          <w:tcPr>
            <w:tcW w:w="1924" w:type="dxa"/>
            <w:noWrap w:val="0"/>
            <w:vAlign w:val="top"/>
          </w:tcPr>
          <w:p w14:paraId="6A4948CA">
            <w:pPr>
              <w:rPr>
                <w:rFonts w:hint="default" w:ascii="Times New Roman" w:hAnsi="Times New Roman" w:cs="Times New Roman"/>
                <w:color w:val="000000" w:themeColor="text1"/>
                <w:sz w:val="21"/>
                <w:szCs w:val="21"/>
                <w:highlight w:val="none"/>
                <w14:textFill>
                  <w14:solidFill>
                    <w14:schemeClr w14:val="tx1"/>
                  </w14:solidFill>
                </w14:textFill>
              </w:rPr>
            </w:pPr>
          </w:p>
        </w:tc>
      </w:tr>
    </w:tbl>
    <w:p w14:paraId="6F2CEB91">
      <w:pPr>
        <w:keepNext w:val="0"/>
        <w:keepLines w:val="0"/>
        <w:pageBreakBefore w:val="0"/>
        <w:widowControl/>
        <w:kinsoku/>
        <w:wordWrap/>
        <w:overflowPunct/>
        <w:topLinePunct w:val="0"/>
        <w:autoSpaceDE w:val="0"/>
        <w:autoSpaceDN w:val="0"/>
        <w:bidi w:val="0"/>
        <w:adjustRightInd/>
        <w:snapToGrid/>
        <w:spacing w:line="360" w:lineRule="auto"/>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p w14:paraId="621FF039">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b/>
          <w:bCs/>
          <w:color w:val="000000" w:themeColor="text1"/>
          <w:sz w:val="24"/>
          <w:szCs w:val="24"/>
          <w:highlight w:val="none"/>
          <w14:textFill>
            <w14:solidFill>
              <w14:schemeClr w14:val="tx1"/>
            </w14:solidFill>
          </w14:textFill>
        </w:rPr>
      </w:pPr>
    </w:p>
    <w:p w14:paraId="238DEDDD">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b/>
          <w:bCs/>
          <w:color w:val="000000" w:themeColor="text1"/>
          <w:sz w:val="24"/>
          <w:szCs w:val="24"/>
          <w:highlight w:val="none"/>
          <w14:textFill>
            <w14:solidFill>
              <w14:schemeClr w14:val="tx1"/>
            </w14:solidFill>
          </w14:textFill>
        </w:rPr>
      </w:pPr>
    </w:p>
    <w:p w14:paraId="75D084D2">
      <w:pPr>
        <w:keepNext w:val="0"/>
        <w:keepLines w:val="0"/>
        <w:pageBreakBefore w:val="0"/>
        <w:widowControl/>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b/>
          <w:bCs/>
          <w:color w:val="000000" w:themeColor="text1"/>
          <w:sz w:val="24"/>
          <w:szCs w:val="24"/>
          <w:highlight w:val="none"/>
          <w14:textFill>
            <w14:solidFill>
              <w14:schemeClr w14:val="tx1"/>
            </w14:solidFill>
          </w14:textFill>
        </w:rPr>
      </w:pPr>
      <w:bookmarkStart w:id="6" w:name="_GoBack"/>
      <w:bookmarkEnd w:id="6"/>
    </w:p>
    <w:p w14:paraId="07CFFD57">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屏</w:t>
      </w:r>
      <w:r>
        <w:rPr>
          <w:rFonts w:hint="default"/>
          <w:b/>
          <w:bCs/>
          <w:color w:val="000000" w:themeColor="text1"/>
          <w:sz w:val="24"/>
          <w:szCs w:val="24"/>
          <w:highlight w:val="none"/>
          <w14:textFill>
            <w14:solidFill>
              <w14:schemeClr w14:val="tx1"/>
            </w14:solidFill>
          </w14:textFill>
        </w:rPr>
        <w:t>蔽要求</w:t>
      </w:r>
    </w:p>
    <w:tbl>
      <w:tblPr>
        <w:tblStyle w:val="4"/>
        <w:tblW w:w="0" w:type="auto"/>
        <w:tblInd w:w="1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2"/>
        <w:gridCol w:w="2952"/>
      </w:tblGrid>
      <w:tr w14:paraId="6728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2" w:type="dxa"/>
            <w:shd w:val="clear" w:color="auto" w:fill="92D050"/>
            <w:noWrap w:val="0"/>
            <w:vAlign w:val="bottom"/>
          </w:tcPr>
          <w:p w14:paraId="0F8E7115">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b/>
                <w:bCs/>
                <w:color w:val="000000" w:themeColor="text1"/>
                <w:sz w:val="24"/>
                <w:szCs w:val="24"/>
                <w:highlight w:val="none"/>
                <w:vertAlign w:val="baseli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部件</w:t>
            </w:r>
          </w:p>
        </w:tc>
        <w:tc>
          <w:tcPr>
            <w:tcW w:w="2952" w:type="dxa"/>
            <w:shd w:val="clear" w:color="auto" w:fill="92D050"/>
            <w:noWrap w:val="0"/>
            <w:vAlign w:val="bottom"/>
          </w:tcPr>
          <w:p w14:paraId="4794CA25">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b/>
                <w:bCs/>
                <w:color w:val="000000" w:themeColor="text1"/>
                <w:sz w:val="24"/>
                <w:szCs w:val="24"/>
                <w:highlight w:val="none"/>
                <w:vertAlign w:val="baseli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要求</w:t>
            </w:r>
          </w:p>
        </w:tc>
      </w:tr>
      <w:tr w14:paraId="120D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2" w:type="dxa"/>
            <w:noWrap w:val="0"/>
            <w:vAlign w:val="bottom"/>
          </w:tcPr>
          <w:p w14:paraId="1BE9A3A9">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b/>
                <w:bCs/>
                <w:color w:val="000000" w:themeColor="text1"/>
                <w:sz w:val="24"/>
                <w:szCs w:val="24"/>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收集极</w:t>
            </w:r>
          </w:p>
        </w:tc>
        <w:tc>
          <w:tcPr>
            <w:tcW w:w="2952" w:type="dxa"/>
            <w:noWrap w:val="0"/>
            <w:vAlign w:val="bottom"/>
          </w:tcPr>
          <w:p w14:paraId="5E367C5E">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b/>
                <w:bCs/>
                <w:color w:val="000000" w:themeColor="text1"/>
                <w:sz w:val="24"/>
                <w:szCs w:val="24"/>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纯铁屏蔽，平顶</w:t>
            </w:r>
          </w:p>
        </w:tc>
      </w:tr>
      <w:tr w14:paraId="1629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2" w:type="dxa"/>
            <w:noWrap w:val="0"/>
            <w:vAlign w:val="bottom"/>
          </w:tcPr>
          <w:p w14:paraId="6FB6E70C">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b/>
                <w:bCs/>
                <w:color w:val="000000" w:themeColor="text1"/>
                <w:sz w:val="24"/>
                <w:szCs w:val="24"/>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磁线包</w:t>
            </w:r>
          </w:p>
        </w:tc>
        <w:tc>
          <w:tcPr>
            <w:tcW w:w="2952" w:type="dxa"/>
            <w:noWrap w:val="0"/>
            <w:vAlign w:val="bottom"/>
          </w:tcPr>
          <w:p w14:paraId="3AEE9E57">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b/>
                <w:bCs/>
                <w:color w:val="000000" w:themeColor="text1"/>
                <w:sz w:val="24"/>
                <w:szCs w:val="24"/>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纯铁屏蔽</w:t>
            </w:r>
          </w:p>
        </w:tc>
      </w:tr>
      <w:tr w14:paraId="6A8D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2" w:type="dxa"/>
            <w:noWrap w:val="0"/>
            <w:vAlign w:val="bottom"/>
          </w:tcPr>
          <w:p w14:paraId="5D3EB2E6">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b/>
                <w:bCs/>
                <w:color w:val="000000" w:themeColor="text1"/>
                <w:sz w:val="24"/>
                <w:szCs w:val="24"/>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电子枪</w:t>
            </w:r>
          </w:p>
        </w:tc>
        <w:tc>
          <w:tcPr>
            <w:tcW w:w="2952" w:type="dxa"/>
            <w:noWrap w:val="0"/>
            <w:vAlign w:val="bottom"/>
          </w:tcPr>
          <w:p w14:paraId="4832747F">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rPr>
                <w:rFonts w:hint="default"/>
                <w:b/>
                <w:bCs/>
                <w:color w:val="000000" w:themeColor="text1"/>
                <w:sz w:val="24"/>
                <w:szCs w:val="24"/>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纯铁屏蔽</w:t>
            </w:r>
          </w:p>
        </w:tc>
      </w:tr>
    </w:tbl>
    <w:p w14:paraId="5A1F93C3">
      <w:pPr>
        <w:keepNext w:val="0"/>
        <w:keepLines w:val="0"/>
        <w:pageBreakBefore w:val="0"/>
        <w:widowControl w:val="0"/>
        <w:kinsoku/>
        <w:wordWrap/>
        <w:overflowPunct/>
        <w:topLinePunct w:val="0"/>
        <w:autoSpaceDE/>
        <w:autoSpaceDN/>
        <w:bidi w:val="0"/>
        <w:adjustRightInd/>
        <w:snapToGrid/>
        <w:spacing w:before="313" w:beforeLines="100" w:after="157" w:afterLines="50" w:line="360" w:lineRule="auto"/>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2.4、 技术服务要求及质保要求</w:t>
      </w:r>
    </w:p>
    <w:p w14:paraId="1420A52B">
      <w:pPr>
        <w:keepNext/>
        <w:keepLines/>
        <w:pageBreakBefore w:val="0"/>
        <w:widowControl w:val="0"/>
        <w:kinsoku/>
        <w:wordWrap/>
        <w:overflowPunct/>
        <w:topLinePunct w:val="0"/>
        <w:autoSpaceDE/>
        <w:autoSpaceDN/>
        <w:bidi w:val="0"/>
        <w:adjustRightInd/>
        <w:snapToGrid/>
        <w:spacing w:before="157" w:beforeLines="50" w:after="157" w:afterLines="50" w:line="360" w:lineRule="auto"/>
        <w:textAlignment w:val="auto"/>
        <w:outlineLvl w:val="1"/>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技术服务要求</w:t>
      </w:r>
    </w:p>
    <w:p w14:paraId="37BA6754">
      <w:pPr>
        <w:pageBreakBefore w:val="0"/>
        <w:widowControl w:val="0"/>
        <w:kinsoku/>
        <w:wordWrap/>
        <w:overflowPunct/>
        <w:topLinePunct w:val="0"/>
        <w:autoSpaceDE/>
        <w:autoSpaceDN/>
        <w:bidi w:val="0"/>
        <w:adjustRightInd/>
        <w:snapToGrid/>
        <w:spacing w:line="360" w:lineRule="auto"/>
        <w:ind w:left="630" w:leftChars="200" w:hanging="210" w:hangingChars="1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投标人应提供的技术服务包括：</w:t>
      </w:r>
    </w:p>
    <w:p w14:paraId="4EC3EC4C">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速调管的设计、制造与性能测试</w:t>
      </w:r>
    </w:p>
    <w:p w14:paraId="6218A5F1">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提供详细的速调管接口规范和图纸</w:t>
      </w:r>
    </w:p>
    <w:p w14:paraId="43659F53">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提供速调管关键零部件的性能参数与测试报告</w:t>
      </w:r>
    </w:p>
    <w:p w14:paraId="0CAC50B8">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人员培训，包括但不限于速调管使用、性能测试、校准标定、安全须知、维护维修、故障分析等</w:t>
      </w:r>
    </w:p>
    <w:p w14:paraId="49609EC6">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如果安装与设备使用过程中需要用到非标工具，投标人应提供</w:t>
      </w:r>
    </w:p>
    <w:p w14:paraId="22529973">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质保要求</w:t>
      </w:r>
    </w:p>
    <w:p w14:paraId="648D5C8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设备质量保证期</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12</w:t>
      </w:r>
      <w:r>
        <w:rPr>
          <w:rFonts w:hint="default" w:ascii="Times New Roman" w:hAnsi="Times New Roman" w:cs="Times New Roman"/>
          <w:color w:val="000000" w:themeColor="text1"/>
          <w:sz w:val="21"/>
          <w:szCs w:val="21"/>
          <w:highlight w:val="none"/>
          <w14:textFill>
            <w14:solidFill>
              <w14:schemeClr w14:val="tx1"/>
            </w14:solidFill>
          </w14:textFill>
        </w:rPr>
        <w:t>个月，自设备在发标方测试台通过之日起计。质量保证期内，设备故障造成的损失或维修费用由投标人负责。质保期内更换的零部件的质保从更换之日起重新计算。</w:t>
      </w:r>
    </w:p>
    <w:p w14:paraId="138D50D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保修期后，投标人须继续承担提供优质及时的维修服务、技术支持、各种备品备件及耗材的供应等责任。保修期满后，涉及到的维修保养费用应以先维修、后付款的方式进行。</w:t>
      </w:r>
    </w:p>
    <w:p w14:paraId="4235F26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sz w:val="24"/>
          <w:szCs w:val="24"/>
          <w:highlight w:val="none"/>
          <w14:textFill>
            <w14:solidFill>
              <w14:schemeClr w14:val="tx1"/>
            </w14:solidFill>
          </w14:textFill>
        </w:rPr>
        <w:t>2.5、 验收标准及验收程序</w:t>
      </w:r>
      <w:r>
        <w:rPr>
          <w:rFonts w:hint="default" w:ascii="Times New Roman" w:hAnsi="Times New Roman" w:cs="Times New Roman"/>
          <w:b/>
          <w:color w:val="000000" w:themeColor="text1"/>
          <w:sz w:val="24"/>
          <w:szCs w:val="24"/>
          <w:highlight w:val="none"/>
          <w14:textFill>
            <w14:solidFill>
              <w14:schemeClr w14:val="tx1"/>
            </w14:solidFill>
          </w14:textFill>
        </w:rPr>
        <w:tab/>
      </w:r>
    </w:p>
    <w:p w14:paraId="4CABA81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验收标准以合同规定为准，凡在合同中没有约定的，以相关法律、国家标准或国际标准为准。</w:t>
      </w:r>
    </w:p>
    <w:p w14:paraId="317CEEF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投标人须保证其所供货的设备通过了出厂检测和校准，对于计量设备或仪器，需提供有效的校准证书。</w:t>
      </w:r>
    </w:p>
    <w:p w14:paraId="3585CC6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验收程序主要包括文件资料的盘点、设备开箱检查与盘点、接收测试等。</w:t>
      </w:r>
    </w:p>
    <w:p w14:paraId="2D6F3F1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文件资料盘点：文件资料包括但不限于设备基础图、测试报告、装箱清单、使用说明书、合格证、维护保养手册等。除纸质版外，投标人还须提供电子版全套资料。</w:t>
      </w:r>
    </w:p>
    <w:p w14:paraId="25E44FC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设备开箱检查与盘点：设备到货后，投标人须在发标方人员见证下开箱，检查设备完整性，盘点数量和型号是否与合同匹配。</w:t>
      </w:r>
    </w:p>
    <w:p w14:paraId="525BE0C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接收测试：针对合同中约定的关键参数进行接收测试。如果测试结果不合格，投标人要对设备进行调整或更换，直至结果合格。</w:t>
      </w:r>
    </w:p>
    <w:p w14:paraId="2C308E6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17A411"/>
    <w:multiLevelType w:val="singleLevel"/>
    <w:tmpl w:val="3317A411"/>
    <w:lvl w:ilvl="0" w:tentative="0">
      <w:start w:val="3"/>
      <w:numFmt w:val="decimal"/>
      <w:suff w:val="nothing"/>
      <w:lvlText w:val="%1）"/>
      <w:lvlJc w:val="left"/>
    </w:lvl>
  </w:abstractNum>
  <w:abstractNum w:abstractNumId="1">
    <w:nsid w:val="67CC4CD0"/>
    <w:multiLevelType w:val="multilevel"/>
    <w:tmpl w:val="67CC4CD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31BAB"/>
    <w:rsid w:val="71C31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2026-10-27T01:30:00Z</dcterms:created>
  <dc:creator>宋方方</dc:creator>
  <cp:lastModifiedBy>宋方方</cp:lastModifiedBy>
  <dcterms:modified xsi:type="dcterms:W3CDTF">2026-10-27T01:31:31Z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A57B0249912E41728DE6328011F984EF_11</vt:lpwstr>
  </property>
  <property fmtid="{D5CDD505-2E9C-101B-9397-08002B2CF9AE}" pid="4" name="KSOTemplateDocerSaveRecord">
    <vt:lpwstr>eyJoZGlkIjoiY2ZjZDI4YmRkZDY3MGZmNjNjY2JiZTFlYmI4OWM0ZWEiLCJ1c2VySWQiOiIxNzYzODEyODI4In0=</vt:lpwstr>
  </property>
</Properties>
</file>