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BD9C5">
      <w:pPr>
        <w:pStyle w:val="3"/>
        <w:widowControl/>
        <w:snapToGrid w:val="0"/>
        <w:spacing w:before="0" w:after="0" w:line="360" w:lineRule="auto"/>
        <w:jc w:val="center"/>
        <w:rPr>
          <w:rFonts w:hint="eastAsia" w:ascii="宋体" w:hAnsi="宋体"/>
          <w:color w:val="000000"/>
          <w:highlight w:val="none"/>
        </w:rPr>
      </w:pPr>
      <w:r>
        <w:rPr>
          <w:rFonts w:hint="eastAsia" w:ascii="宋体" w:hAnsi="宋体"/>
          <w:color w:val="000000"/>
          <w:highlight w:val="none"/>
        </w:rPr>
        <w:t>采购需求及技术规格要求</w:t>
      </w:r>
    </w:p>
    <w:p w14:paraId="4675F336">
      <w:pPr>
        <w:adjustRightInd w:val="0"/>
        <w:snapToGrid w:val="0"/>
        <w:spacing w:before="120" w:beforeLines="50" w:line="360" w:lineRule="auto"/>
        <w:rPr>
          <w:rFonts w:ascii="宋体" w:hAnsi="宋体"/>
          <w:b/>
          <w:color w:val="000000"/>
          <w:szCs w:val="21"/>
          <w:highlight w:val="none"/>
        </w:rPr>
      </w:pPr>
      <w:r>
        <w:rPr>
          <w:b/>
          <w:color w:val="000000"/>
          <w:sz w:val="24"/>
          <w:highlight w:val="none"/>
        </w:rPr>
        <w:t>1</w:t>
      </w:r>
      <w:r>
        <w:rPr>
          <w:rFonts w:hint="eastAsia"/>
          <w:b/>
          <w:color w:val="000000"/>
          <w:sz w:val="24"/>
          <w:highlight w:val="none"/>
        </w:rPr>
        <w:t>、</w:t>
      </w:r>
      <w:r>
        <w:rPr>
          <w:b/>
          <w:color w:val="000000"/>
          <w:sz w:val="24"/>
          <w:highlight w:val="none"/>
        </w:rPr>
        <w:t>货</w:t>
      </w:r>
      <w:r>
        <w:rPr>
          <w:rFonts w:ascii="宋体" w:hAnsi="宋体"/>
          <w:b/>
          <w:color w:val="000000"/>
          <w:szCs w:val="21"/>
          <w:highlight w:val="none"/>
        </w:rPr>
        <w:t>物需求一览表</w:t>
      </w:r>
    </w:p>
    <w:tbl>
      <w:tblPr>
        <w:tblStyle w:val="4"/>
        <w:tblW w:w="9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2954"/>
        <w:gridCol w:w="992"/>
        <w:gridCol w:w="1965"/>
        <w:gridCol w:w="2660"/>
      </w:tblGrid>
      <w:tr w14:paraId="1C87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noWrap w:val="0"/>
            <w:vAlign w:val="center"/>
          </w:tcPr>
          <w:p w14:paraId="04CC344E">
            <w:pPr>
              <w:adjustRightInd w:val="0"/>
              <w:snapToGrid w:val="0"/>
              <w:spacing w:line="360" w:lineRule="auto"/>
              <w:jc w:val="center"/>
              <w:rPr>
                <w:rFonts w:hint="eastAsia" w:ascii="宋体" w:hAnsi="宋体"/>
                <w:color w:val="000000"/>
                <w:szCs w:val="21"/>
                <w:highlight w:val="none"/>
              </w:rPr>
            </w:pPr>
            <w:bookmarkStart w:id="0" w:name="_Toc12010788"/>
            <w:bookmarkStart w:id="1" w:name="_Toc12010815"/>
            <w:bookmarkStart w:id="2" w:name="_Toc509153917"/>
            <w:bookmarkStart w:id="3" w:name="_Toc30409514"/>
            <w:bookmarkStart w:id="4" w:name="_Toc257021215"/>
            <w:bookmarkStart w:id="5" w:name="_Toc532807472"/>
            <w:r>
              <w:rPr>
                <w:rFonts w:hint="eastAsia" w:ascii="宋体" w:hAnsi="宋体"/>
                <w:color w:val="000000"/>
                <w:szCs w:val="21"/>
                <w:highlight w:val="none"/>
              </w:rPr>
              <w:t>序号</w:t>
            </w:r>
          </w:p>
        </w:tc>
        <w:tc>
          <w:tcPr>
            <w:tcW w:w="2954" w:type="dxa"/>
            <w:noWrap w:val="0"/>
            <w:vAlign w:val="center"/>
          </w:tcPr>
          <w:p w14:paraId="5F53A65B">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货物名称</w:t>
            </w:r>
          </w:p>
        </w:tc>
        <w:tc>
          <w:tcPr>
            <w:tcW w:w="992" w:type="dxa"/>
            <w:noWrap w:val="0"/>
            <w:vAlign w:val="center"/>
          </w:tcPr>
          <w:p w14:paraId="2DA16E1C">
            <w:pPr>
              <w:adjustRightInd w:val="0"/>
              <w:snapToGrid w:val="0"/>
              <w:spacing w:line="360" w:lineRule="auto"/>
              <w:jc w:val="center"/>
              <w:rPr>
                <w:rFonts w:hint="eastAsia" w:ascii="宋体" w:hAnsi="宋体"/>
                <w:color w:val="000000"/>
                <w:szCs w:val="21"/>
                <w:highlight w:val="none"/>
              </w:rPr>
            </w:pPr>
            <w:r>
              <w:rPr>
                <w:rFonts w:hint="eastAsia" w:ascii="宋体" w:hAnsi="宋体"/>
                <w:color w:val="000000"/>
                <w:szCs w:val="21"/>
                <w:highlight w:val="none"/>
              </w:rPr>
              <w:t>数量</w:t>
            </w:r>
          </w:p>
        </w:tc>
        <w:tc>
          <w:tcPr>
            <w:tcW w:w="1965" w:type="dxa"/>
            <w:noWrap w:val="0"/>
            <w:vAlign w:val="center"/>
          </w:tcPr>
          <w:p w14:paraId="33ECE606">
            <w:pPr>
              <w:adjustRightInd w:val="0"/>
              <w:snapToGrid w:val="0"/>
              <w:spacing w:line="360" w:lineRule="auto"/>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交货期</w:t>
            </w:r>
          </w:p>
        </w:tc>
        <w:tc>
          <w:tcPr>
            <w:tcW w:w="2660" w:type="dxa"/>
            <w:noWrap w:val="0"/>
            <w:vAlign w:val="center"/>
          </w:tcPr>
          <w:p w14:paraId="4009BE91">
            <w:pPr>
              <w:adjustRightInd w:val="0"/>
              <w:snapToGrid w:val="0"/>
              <w:spacing w:line="360" w:lineRule="auto"/>
              <w:jc w:val="center"/>
              <w:rPr>
                <w:rFonts w:hint="eastAsia" w:ascii="宋体" w:hAnsi="宋体" w:eastAsia="宋体"/>
                <w:color w:val="000000"/>
                <w:szCs w:val="21"/>
                <w:highlight w:val="none"/>
                <w:lang w:eastAsia="zh-CN"/>
              </w:rPr>
            </w:pPr>
            <w:r>
              <w:rPr>
                <w:rFonts w:hint="eastAsia" w:ascii="宋体" w:hAnsi="宋体"/>
                <w:color w:val="000000"/>
                <w:szCs w:val="21"/>
                <w:highlight w:val="none"/>
                <w:lang w:val="en-US" w:eastAsia="zh-CN"/>
              </w:rPr>
              <w:t>备注</w:t>
            </w:r>
          </w:p>
        </w:tc>
      </w:tr>
      <w:tr w14:paraId="0BE76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04" w:type="dxa"/>
            <w:noWrap w:val="0"/>
            <w:vAlign w:val="center"/>
          </w:tcPr>
          <w:p w14:paraId="069F21CD">
            <w:pPr>
              <w:adjustRightInd w:val="0"/>
              <w:snapToGrid w:val="0"/>
              <w:spacing w:line="360" w:lineRule="auto"/>
              <w:jc w:val="center"/>
              <w:rPr>
                <w:rFonts w:hint="eastAsia" w:ascii="宋体" w:hAnsi="宋体"/>
                <w:color w:val="000000"/>
                <w:szCs w:val="21"/>
                <w:highlight w:val="none"/>
              </w:rPr>
            </w:pPr>
            <w:r>
              <w:rPr>
                <w:rFonts w:ascii="宋体" w:hAnsi="宋体"/>
                <w:color w:val="000000"/>
                <w:szCs w:val="21"/>
                <w:highlight w:val="none"/>
              </w:rPr>
              <w:t>1</w:t>
            </w:r>
          </w:p>
        </w:tc>
        <w:tc>
          <w:tcPr>
            <w:tcW w:w="2954" w:type="dxa"/>
            <w:noWrap w:val="0"/>
            <w:vAlign w:val="center"/>
          </w:tcPr>
          <w:p w14:paraId="2CB39795">
            <w:pPr>
              <w:adjustRightInd w:val="0"/>
              <w:snapToGrid w:val="0"/>
              <w:spacing w:line="360" w:lineRule="auto"/>
              <w:rPr>
                <w:rFonts w:hint="eastAsia" w:ascii="宋体" w:hAnsi="宋体"/>
                <w:color w:val="000000"/>
                <w:szCs w:val="21"/>
                <w:highlight w:val="none"/>
              </w:rPr>
            </w:pPr>
            <w:r>
              <w:rPr>
                <w:rFonts w:ascii="宋体" w:hAnsi="宋体"/>
                <w:color w:val="000000"/>
                <w:szCs w:val="21"/>
                <w:highlight w:val="none"/>
                <w:vertAlign w:val="superscript"/>
              </w:rPr>
              <w:t>6</w:t>
            </w:r>
            <w:r>
              <w:rPr>
                <w:rFonts w:ascii="宋体" w:hAnsi="宋体"/>
                <w:color w:val="000000"/>
                <w:szCs w:val="21"/>
                <w:highlight w:val="none"/>
              </w:rPr>
              <w:t>Li</w:t>
            </w:r>
            <w:r>
              <w:rPr>
                <w:rFonts w:hint="eastAsia" w:ascii="宋体" w:hAnsi="宋体"/>
                <w:color w:val="000000"/>
                <w:szCs w:val="21"/>
                <w:highlight w:val="none"/>
                <w:vertAlign w:val="subscript"/>
              </w:rPr>
              <w:t>1</w:t>
            </w:r>
            <w:r>
              <w:rPr>
                <w:rFonts w:ascii="宋体" w:hAnsi="宋体"/>
                <w:color w:val="000000"/>
                <w:szCs w:val="21"/>
                <w:highlight w:val="none"/>
                <w:vertAlign w:val="subscript"/>
              </w:rPr>
              <w:t>7</w:t>
            </w:r>
            <w:r>
              <w:rPr>
                <w:rFonts w:ascii="宋体" w:hAnsi="宋体"/>
                <w:color w:val="000000"/>
                <w:szCs w:val="21"/>
                <w:highlight w:val="none"/>
              </w:rPr>
              <w:t>Pb</w:t>
            </w:r>
            <w:r>
              <w:rPr>
                <w:rFonts w:ascii="宋体" w:hAnsi="宋体"/>
                <w:color w:val="000000"/>
                <w:szCs w:val="21"/>
                <w:highlight w:val="none"/>
                <w:vertAlign w:val="subscript"/>
              </w:rPr>
              <w:t>83</w:t>
            </w:r>
            <w:r>
              <w:rPr>
                <w:rFonts w:ascii="宋体" w:hAnsi="宋体"/>
                <w:color w:val="000000"/>
                <w:szCs w:val="21"/>
                <w:highlight w:val="none"/>
              </w:rPr>
              <w:t>合金制备工艺开发</w:t>
            </w:r>
          </w:p>
        </w:tc>
        <w:tc>
          <w:tcPr>
            <w:tcW w:w="992" w:type="dxa"/>
            <w:noWrap w:val="0"/>
            <w:vAlign w:val="center"/>
          </w:tcPr>
          <w:p w14:paraId="37E32D02">
            <w:pPr>
              <w:adjustRightInd w:val="0"/>
              <w:snapToGrid w:val="0"/>
              <w:spacing w:line="360" w:lineRule="auto"/>
              <w:jc w:val="center"/>
              <w:rPr>
                <w:rFonts w:hint="eastAsia" w:ascii="宋体" w:hAnsi="宋体" w:eastAsia="宋体" w:cs="Times New Roman"/>
                <w:color w:val="000000"/>
                <w:szCs w:val="21"/>
                <w:highlight w:val="none"/>
              </w:rPr>
            </w:pPr>
            <w:r>
              <w:rPr>
                <w:rFonts w:ascii="宋体" w:hAnsi="宋体" w:eastAsia="宋体" w:cs="Times New Roman"/>
                <w:color w:val="000000"/>
                <w:szCs w:val="21"/>
                <w:highlight w:val="none"/>
              </w:rPr>
              <w:t>1项</w:t>
            </w:r>
          </w:p>
        </w:tc>
        <w:tc>
          <w:tcPr>
            <w:tcW w:w="1965" w:type="dxa"/>
            <w:vMerge w:val="restart"/>
            <w:noWrap w:val="0"/>
            <w:vAlign w:val="center"/>
          </w:tcPr>
          <w:p w14:paraId="00308B25">
            <w:pPr>
              <w:adjustRightInd w:val="0"/>
              <w:snapToGrid w:val="0"/>
              <w:spacing w:line="360" w:lineRule="auto"/>
              <w:jc w:val="center"/>
              <w:rPr>
                <w:rFonts w:hint="eastAsia" w:ascii="宋体" w:hAnsi="宋体"/>
                <w:color w:val="000000"/>
                <w:szCs w:val="21"/>
                <w:highlight w:val="none"/>
              </w:rPr>
            </w:pPr>
            <w:r>
              <w:rPr>
                <w:rFonts w:ascii="宋体" w:hAnsi="宋体"/>
                <w:color w:val="000000"/>
                <w:szCs w:val="21"/>
                <w:highlight w:val="none"/>
              </w:rPr>
              <w:t>合同签订后24个月</w:t>
            </w:r>
          </w:p>
        </w:tc>
        <w:tc>
          <w:tcPr>
            <w:tcW w:w="2660" w:type="dxa"/>
            <w:vMerge w:val="restart"/>
            <w:noWrap w:val="0"/>
            <w:vAlign w:val="center"/>
          </w:tcPr>
          <w:p w14:paraId="1E664D4A">
            <w:pPr>
              <w:adjustRightInd w:val="0"/>
              <w:snapToGrid w:val="0"/>
              <w:spacing w:line="360" w:lineRule="auto"/>
              <w:jc w:val="center"/>
              <w:rPr>
                <w:rFonts w:hint="eastAsia" w:ascii="宋体" w:hAnsi="宋体"/>
                <w:color w:val="000000"/>
                <w:szCs w:val="21"/>
                <w:highlight w:val="none"/>
              </w:rPr>
            </w:pPr>
            <w:r>
              <w:rPr>
                <w:rFonts w:ascii="宋体" w:hAnsi="宋体"/>
                <w:color w:val="000000"/>
                <w:szCs w:val="21"/>
                <w:highlight w:val="none"/>
              </w:rPr>
              <w:t>（含材料费、设备使用费、检测费及税费）</w:t>
            </w:r>
          </w:p>
        </w:tc>
      </w:tr>
      <w:tr w14:paraId="62759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04" w:type="dxa"/>
            <w:noWrap w:val="0"/>
            <w:vAlign w:val="center"/>
          </w:tcPr>
          <w:p w14:paraId="599DCE3D">
            <w:pPr>
              <w:adjustRightInd w:val="0"/>
              <w:snapToGrid w:val="0"/>
              <w:spacing w:line="360" w:lineRule="auto"/>
              <w:jc w:val="center"/>
              <w:rPr>
                <w:rFonts w:hint="eastAsia" w:ascii="宋体" w:hAnsi="宋体"/>
                <w:color w:val="000000"/>
                <w:szCs w:val="21"/>
                <w:highlight w:val="none"/>
              </w:rPr>
            </w:pPr>
            <w:r>
              <w:rPr>
                <w:rFonts w:ascii="宋体" w:hAnsi="宋体"/>
                <w:color w:val="000000"/>
                <w:szCs w:val="21"/>
                <w:highlight w:val="none"/>
              </w:rPr>
              <w:t>2</w:t>
            </w:r>
          </w:p>
        </w:tc>
        <w:tc>
          <w:tcPr>
            <w:tcW w:w="2954" w:type="dxa"/>
            <w:noWrap w:val="0"/>
            <w:vAlign w:val="center"/>
          </w:tcPr>
          <w:p w14:paraId="06A5B2BC">
            <w:pPr>
              <w:adjustRightInd w:val="0"/>
              <w:snapToGrid w:val="0"/>
              <w:spacing w:line="360" w:lineRule="auto"/>
              <w:rPr>
                <w:rFonts w:hint="eastAsia" w:ascii="宋体" w:hAnsi="宋体"/>
                <w:color w:val="000000"/>
                <w:szCs w:val="21"/>
                <w:highlight w:val="none"/>
              </w:rPr>
            </w:pPr>
            <w:r>
              <w:rPr>
                <w:rFonts w:ascii="宋体" w:hAnsi="宋体"/>
                <w:color w:val="000000"/>
                <w:szCs w:val="21"/>
                <w:highlight w:val="none"/>
              </w:rPr>
              <w:t>Li</w:t>
            </w:r>
            <w:r>
              <w:rPr>
                <w:rFonts w:hint="eastAsia" w:ascii="宋体" w:hAnsi="宋体"/>
                <w:color w:val="000000"/>
                <w:szCs w:val="21"/>
                <w:highlight w:val="none"/>
                <w:vertAlign w:val="subscript"/>
              </w:rPr>
              <w:t>1</w:t>
            </w:r>
            <w:r>
              <w:rPr>
                <w:rFonts w:ascii="宋体" w:hAnsi="宋体"/>
                <w:color w:val="000000"/>
                <w:szCs w:val="21"/>
                <w:highlight w:val="none"/>
                <w:vertAlign w:val="subscript"/>
              </w:rPr>
              <w:t>7</w:t>
            </w:r>
            <w:r>
              <w:rPr>
                <w:rFonts w:ascii="宋体" w:hAnsi="宋体"/>
                <w:color w:val="000000"/>
                <w:szCs w:val="21"/>
                <w:highlight w:val="none"/>
              </w:rPr>
              <w:t>Pb</w:t>
            </w:r>
            <w:r>
              <w:rPr>
                <w:rFonts w:ascii="宋体" w:hAnsi="宋体"/>
                <w:color w:val="000000"/>
                <w:szCs w:val="21"/>
                <w:highlight w:val="none"/>
                <w:vertAlign w:val="subscript"/>
              </w:rPr>
              <w:t>83</w:t>
            </w:r>
            <w:r>
              <w:rPr>
                <w:rFonts w:ascii="宋体" w:hAnsi="宋体"/>
                <w:color w:val="000000"/>
                <w:szCs w:val="21"/>
                <w:highlight w:val="none"/>
              </w:rPr>
              <w:t>合金</w:t>
            </w:r>
          </w:p>
        </w:tc>
        <w:tc>
          <w:tcPr>
            <w:tcW w:w="992" w:type="dxa"/>
            <w:noWrap w:val="0"/>
            <w:vAlign w:val="center"/>
          </w:tcPr>
          <w:p w14:paraId="5D8E7AD8">
            <w:pPr>
              <w:adjustRightInd w:val="0"/>
              <w:snapToGrid w:val="0"/>
              <w:spacing w:line="360" w:lineRule="auto"/>
              <w:jc w:val="center"/>
              <w:rPr>
                <w:rFonts w:hint="eastAsia" w:ascii="宋体" w:hAnsi="宋体" w:eastAsia="宋体" w:cs="Times New Roman"/>
                <w:color w:val="000000"/>
                <w:szCs w:val="21"/>
                <w:highlight w:val="none"/>
              </w:rPr>
            </w:pPr>
            <w:r>
              <w:rPr>
                <w:rFonts w:ascii="宋体" w:hAnsi="宋体" w:eastAsia="宋体" w:cs="Times New Roman"/>
                <w:color w:val="000000"/>
                <w:szCs w:val="21"/>
                <w:highlight w:val="none"/>
              </w:rPr>
              <w:t>1kg</w:t>
            </w:r>
          </w:p>
        </w:tc>
        <w:tc>
          <w:tcPr>
            <w:tcW w:w="1965" w:type="dxa"/>
            <w:vMerge w:val="continue"/>
            <w:noWrap w:val="0"/>
            <w:vAlign w:val="center"/>
          </w:tcPr>
          <w:p w14:paraId="6610F0D5">
            <w:pPr>
              <w:adjustRightInd w:val="0"/>
              <w:snapToGrid w:val="0"/>
              <w:spacing w:line="360" w:lineRule="auto"/>
              <w:jc w:val="center"/>
              <w:rPr>
                <w:rFonts w:hint="eastAsia" w:ascii="宋体" w:hAnsi="宋体"/>
                <w:color w:val="000000"/>
                <w:szCs w:val="21"/>
                <w:highlight w:val="none"/>
              </w:rPr>
            </w:pPr>
          </w:p>
        </w:tc>
        <w:tc>
          <w:tcPr>
            <w:tcW w:w="2660" w:type="dxa"/>
            <w:vMerge w:val="continue"/>
            <w:noWrap w:val="0"/>
            <w:vAlign w:val="center"/>
          </w:tcPr>
          <w:p w14:paraId="29A2BC4A">
            <w:pPr>
              <w:adjustRightInd w:val="0"/>
              <w:snapToGrid w:val="0"/>
              <w:spacing w:line="360" w:lineRule="auto"/>
              <w:jc w:val="center"/>
              <w:rPr>
                <w:rFonts w:hint="eastAsia" w:ascii="宋体" w:hAnsi="宋体"/>
                <w:color w:val="000000"/>
                <w:szCs w:val="21"/>
                <w:highlight w:val="none"/>
              </w:rPr>
            </w:pPr>
          </w:p>
        </w:tc>
      </w:tr>
    </w:tbl>
    <w:p w14:paraId="7177964B">
      <w:pPr>
        <w:adjustRightInd w:val="0"/>
        <w:snapToGrid w:val="0"/>
        <w:spacing w:line="360" w:lineRule="auto"/>
        <w:ind w:firstLine="422" w:firstLineChars="200"/>
        <w:rPr>
          <w:rFonts w:ascii="宋体" w:hAnsi="宋体"/>
          <w:b/>
          <w:color w:val="000000"/>
          <w:szCs w:val="21"/>
          <w:highlight w:val="none"/>
        </w:rPr>
      </w:pPr>
    </w:p>
    <w:p w14:paraId="4F107CAE">
      <w:pPr>
        <w:adjustRightInd w:val="0"/>
        <w:snapToGrid w:val="0"/>
        <w:spacing w:before="120" w:beforeLines="50" w:line="360" w:lineRule="auto"/>
        <w:rPr>
          <w:rFonts w:ascii="宋体" w:hAnsi="宋体"/>
          <w:b/>
          <w:color w:val="000000"/>
          <w:sz w:val="24"/>
          <w:highlight w:val="none"/>
        </w:rPr>
      </w:pPr>
      <w:r>
        <w:rPr>
          <w:rFonts w:ascii="宋体" w:hAnsi="宋体"/>
          <w:b/>
          <w:color w:val="000000"/>
          <w:sz w:val="24"/>
          <w:highlight w:val="none"/>
        </w:rPr>
        <w:t>2</w:t>
      </w:r>
      <w:r>
        <w:rPr>
          <w:rFonts w:hint="eastAsia" w:ascii="宋体" w:hAnsi="宋体"/>
          <w:b/>
          <w:color w:val="000000"/>
          <w:sz w:val="24"/>
          <w:highlight w:val="none"/>
        </w:rPr>
        <w:t>、</w:t>
      </w:r>
      <w:r>
        <w:rPr>
          <w:rFonts w:ascii="宋体" w:hAnsi="宋体"/>
          <w:b/>
          <w:color w:val="000000"/>
          <w:sz w:val="24"/>
          <w:highlight w:val="none"/>
        </w:rPr>
        <w:t>工程技术要求</w:t>
      </w:r>
    </w:p>
    <w:p w14:paraId="29B1241E">
      <w:pPr>
        <w:pStyle w:val="2"/>
        <w:spacing w:line="360" w:lineRule="auto"/>
        <w:ind w:firstLine="420" w:firstLineChars="200"/>
        <w:rPr>
          <w:rFonts w:hint="eastAsia" w:ascii="宋体" w:hAnsi="宋体" w:eastAsia="宋体"/>
          <w:color w:val="000000"/>
          <w:sz w:val="21"/>
          <w:szCs w:val="21"/>
          <w:highlight w:val="none"/>
        </w:rPr>
      </w:pPr>
      <w:r>
        <w:rPr>
          <w:rFonts w:ascii="宋体" w:hAnsi="宋体" w:eastAsia="宋体"/>
          <w:color w:val="000000"/>
          <w:sz w:val="21"/>
          <w:szCs w:val="21"/>
          <w:highlight w:val="none"/>
        </w:rPr>
        <w:t>本采购项目旨在针对聚变堆液态氚增殖剂需求，开发</w:t>
      </w:r>
      <w:r>
        <w:rPr>
          <w:rFonts w:ascii="宋体" w:hAnsi="宋体" w:eastAsia="宋体"/>
          <w:color w:val="000000"/>
          <w:sz w:val="21"/>
          <w:szCs w:val="21"/>
          <w:highlight w:val="none"/>
          <w:vertAlign w:val="superscript"/>
        </w:rPr>
        <w:t>6</w:t>
      </w:r>
      <w:r>
        <w:rPr>
          <w:rFonts w:ascii="宋体" w:hAnsi="宋体" w:eastAsia="宋体"/>
          <w:color w:val="000000"/>
          <w:sz w:val="21"/>
          <w:szCs w:val="21"/>
          <w:highlight w:val="none"/>
        </w:rPr>
        <w:t>Li</w:t>
      </w:r>
      <w:r>
        <w:rPr>
          <w:rFonts w:hint="eastAsia" w:ascii="宋体" w:hAnsi="宋体" w:eastAsia="宋体"/>
          <w:color w:val="000000"/>
          <w:sz w:val="21"/>
          <w:szCs w:val="21"/>
          <w:highlight w:val="none"/>
          <w:vertAlign w:val="subscript"/>
        </w:rPr>
        <w:t>1</w:t>
      </w:r>
      <w:r>
        <w:rPr>
          <w:rFonts w:ascii="宋体" w:hAnsi="宋体" w:eastAsia="宋体"/>
          <w:color w:val="000000"/>
          <w:sz w:val="21"/>
          <w:szCs w:val="21"/>
          <w:highlight w:val="none"/>
          <w:vertAlign w:val="subscript"/>
        </w:rPr>
        <w:t>7</w:t>
      </w:r>
      <w:r>
        <w:rPr>
          <w:rFonts w:ascii="宋体" w:hAnsi="宋体" w:eastAsia="宋体"/>
          <w:color w:val="000000"/>
          <w:sz w:val="21"/>
          <w:szCs w:val="21"/>
          <w:highlight w:val="none"/>
        </w:rPr>
        <w:t>Pb</w:t>
      </w:r>
      <w:r>
        <w:rPr>
          <w:rFonts w:ascii="宋体" w:hAnsi="宋体" w:eastAsia="宋体"/>
          <w:color w:val="000000"/>
          <w:sz w:val="21"/>
          <w:szCs w:val="21"/>
          <w:highlight w:val="none"/>
          <w:vertAlign w:val="subscript"/>
        </w:rPr>
        <w:t>83</w:t>
      </w:r>
      <w:r>
        <w:rPr>
          <w:rFonts w:ascii="宋体" w:hAnsi="宋体" w:eastAsia="宋体"/>
          <w:color w:val="000000"/>
          <w:sz w:val="21"/>
          <w:szCs w:val="21"/>
          <w:highlight w:val="none"/>
        </w:rPr>
        <w:t>合金制备工艺，并研制高纯度锂铅合金实物样品。</w:t>
      </w:r>
    </w:p>
    <w:p w14:paraId="5C2EA25B">
      <w:pPr>
        <w:adjustRightInd w:val="0"/>
        <w:snapToGrid w:val="0"/>
        <w:spacing w:before="120" w:beforeLines="50" w:line="360" w:lineRule="auto"/>
        <w:rPr>
          <w:rFonts w:ascii="宋体" w:hAnsi="宋体"/>
          <w:b/>
          <w:color w:val="000000"/>
          <w:szCs w:val="21"/>
          <w:highlight w:val="none"/>
        </w:rPr>
      </w:pPr>
      <w:r>
        <w:rPr>
          <w:rFonts w:ascii="宋体" w:hAnsi="宋体"/>
          <w:b/>
          <w:color w:val="000000"/>
          <w:szCs w:val="21"/>
          <w:highlight w:val="none"/>
        </w:rPr>
        <w:t>2.</w:t>
      </w:r>
      <w:r>
        <w:rPr>
          <w:rFonts w:hint="eastAsia" w:ascii="宋体" w:hAnsi="宋体"/>
          <w:b/>
          <w:color w:val="000000"/>
          <w:szCs w:val="21"/>
          <w:highlight w:val="none"/>
        </w:rPr>
        <w:t>1、</w:t>
      </w:r>
      <w:r>
        <w:rPr>
          <w:rFonts w:ascii="宋体" w:hAnsi="宋体"/>
          <w:b/>
          <w:color w:val="000000"/>
          <w:szCs w:val="21"/>
          <w:highlight w:val="none"/>
        </w:rPr>
        <w:t>设备的主要用途及功能</w:t>
      </w:r>
    </w:p>
    <w:p w14:paraId="22AD9F5F">
      <w:pPr>
        <w:pStyle w:val="2"/>
        <w:spacing w:line="360" w:lineRule="auto"/>
        <w:ind w:firstLine="420" w:firstLineChars="200"/>
        <w:rPr>
          <w:rFonts w:ascii="宋体" w:hAnsi="宋体" w:eastAsia="宋体"/>
          <w:color w:val="000000"/>
          <w:sz w:val="21"/>
          <w:szCs w:val="21"/>
          <w:highlight w:val="none"/>
        </w:rPr>
      </w:pPr>
      <w:r>
        <w:rPr>
          <w:rFonts w:ascii="宋体" w:hAnsi="宋体" w:eastAsia="宋体"/>
          <w:color w:val="000000"/>
          <w:sz w:val="21"/>
          <w:szCs w:val="21"/>
          <w:highlight w:val="none"/>
        </w:rPr>
        <w:t>锂铅（</w:t>
      </w:r>
      <w:r>
        <w:rPr>
          <w:rFonts w:ascii="宋体" w:hAnsi="宋体" w:eastAsia="宋体"/>
          <w:color w:val="000000"/>
          <w:sz w:val="21"/>
          <w:szCs w:val="21"/>
          <w:highlight w:val="none"/>
          <w:vertAlign w:val="superscript"/>
        </w:rPr>
        <w:t>6</w:t>
      </w:r>
      <w:r>
        <w:rPr>
          <w:rFonts w:ascii="宋体" w:hAnsi="宋体" w:eastAsia="宋体"/>
          <w:color w:val="000000"/>
          <w:sz w:val="21"/>
          <w:szCs w:val="21"/>
          <w:highlight w:val="none"/>
        </w:rPr>
        <w:t xml:space="preserve"> Li</w:t>
      </w:r>
      <w:r>
        <w:rPr>
          <w:rFonts w:hint="eastAsia" w:ascii="宋体" w:hAnsi="宋体" w:eastAsia="宋体"/>
          <w:color w:val="000000"/>
          <w:sz w:val="21"/>
          <w:szCs w:val="21"/>
          <w:highlight w:val="none"/>
          <w:vertAlign w:val="subscript"/>
        </w:rPr>
        <w:t>1</w:t>
      </w:r>
      <w:r>
        <w:rPr>
          <w:rFonts w:ascii="宋体" w:hAnsi="宋体" w:eastAsia="宋体"/>
          <w:color w:val="000000"/>
          <w:sz w:val="21"/>
          <w:szCs w:val="21"/>
          <w:highlight w:val="none"/>
          <w:vertAlign w:val="subscript"/>
        </w:rPr>
        <w:t>7</w:t>
      </w:r>
      <w:r>
        <w:rPr>
          <w:rFonts w:ascii="宋体" w:hAnsi="宋体" w:eastAsia="宋体"/>
          <w:color w:val="000000"/>
          <w:sz w:val="21"/>
          <w:szCs w:val="21"/>
          <w:highlight w:val="none"/>
        </w:rPr>
        <w:t>Pb</w:t>
      </w:r>
      <w:r>
        <w:rPr>
          <w:rFonts w:ascii="宋体" w:hAnsi="宋体" w:eastAsia="宋体"/>
          <w:color w:val="000000"/>
          <w:sz w:val="21"/>
          <w:szCs w:val="21"/>
          <w:highlight w:val="none"/>
          <w:vertAlign w:val="subscript"/>
        </w:rPr>
        <w:t>83</w:t>
      </w:r>
      <w:r>
        <w:rPr>
          <w:rFonts w:ascii="宋体" w:hAnsi="宋体" w:eastAsia="宋体"/>
          <w:color w:val="000000"/>
          <w:sz w:val="21"/>
          <w:szCs w:val="21"/>
          <w:highlight w:val="none"/>
        </w:rPr>
        <w:t>）合金是可控核聚变包层设计的首选候选材料之一，在聚变堆氚自持过程中扮演极其重要的角色，具备氚增殖、中子倍增和传热等多重功能。</w:t>
      </w:r>
    </w:p>
    <w:p w14:paraId="3A817B8D">
      <w:pPr>
        <w:pStyle w:val="2"/>
        <w:spacing w:line="360" w:lineRule="auto"/>
        <w:ind w:firstLine="420" w:firstLineChars="200"/>
        <w:rPr>
          <w:rFonts w:hint="eastAsia" w:ascii="宋体" w:hAnsi="宋体" w:eastAsia="宋体"/>
          <w:color w:val="000000"/>
          <w:sz w:val="21"/>
          <w:szCs w:val="21"/>
          <w:highlight w:val="none"/>
        </w:rPr>
      </w:pPr>
      <w:r>
        <w:rPr>
          <w:rFonts w:ascii="宋体" w:hAnsi="宋体" w:eastAsia="宋体"/>
          <w:color w:val="000000"/>
          <w:sz w:val="21"/>
          <w:szCs w:val="21"/>
          <w:highlight w:val="none"/>
        </w:rPr>
        <w:t>通过深入研究锂铅合金熔炼技术，获得关键性能参数的精准控制方法，解决合金熔炼过程中锂含量不易控制、易出现成分偏析等难题，形成经过富集锂-6验证过的完整的锂铅合金制备工艺方案，并交付实物样品，以满足聚变堆产氚回路对锂铅合金的纯度和均匀性要求，为聚变堆实用同位素富集锂铅合金制备提供有效技术支撑。</w:t>
      </w:r>
    </w:p>
    <w:p w14:paraId="63116C1F">
      <w:pPr>
        <w:adjustRightInd w:val="0"/>
        <w:snapToGrid w:val="0"/>
        <w:spacing w:before="120" w:beforeLines="50" w:line="360" w:lineRule="auto"/>
        <w:rPr>
          <w:rFonts w:ascii="宋体" w:hAnsi="宋体"/>
          <w:b/>
          <w:color w:val="000000"/>
          <w:szCs w:val="21"/>
          <w:highlight w:val="none"/>
        </w:rPr>
      </w:pPr>
      <w:r>
        <w:rPr>
          <w:rFonts w:ascii="宋体" w:hAnsi="宋体"/>
          <w:b/>
          <w:color w:val="000000"/>
          <w:szCs w:val="21"/>
          <w:highlight w:val="none"/>
        </w:rPr>
        <w:t>2.</w:t>
      </w:r>
      <w:r>
        <w:rPr>
          <w:rFonts w:hint="eastAsia" w:ascii="宋体" w:hAnsi="宋体"/>
          <w:b/>
          <w:color w:val="000000"/>
          <w:szCs w:val="21"/>
          <w:highlight w:val="none"/>
        </w:rPr>
        <w:t xml:space="preserve">2、 </w:t>
      </w:r>
      <w:r>
        <w:rPr>
          <w:rFonts w:ascii="宋体" w:hAnsi="宋体"/>
          <w:b/>
          <w:color w:val="000000"/>
          <w:szCs w:val="21"/>
          <w:highlight w:val="none"/>
        </w:rPr>
        <w:t>工作条件</w:t>
      </w:r>
    </w:p>
    <w:p w14:paraId="22D19074">
      <w:pPr>
        <w:spacing w:after="160" w:line="360" w:lineRule="auto"/>
        <w:ind w:firstLine="420" w:firstLineChars="200"/>
        <w:rPr>
          <w:rFonts w:ascii="宋体" w:hAnsi="宋体"/>
          <w:color w:val="000000"/>
          <w:szCs w:val="21"/>
          <w:highlight w:val="none"/>
        </w:rPr>
      </w:pPr>
      <w:r>
        <w:rPr>
          <w:rFonts w:ascii="宋体" w:hAnsi="宋体"/>
          <w:color w:val="000000"/>
          <w:szCs w:val="21"/>
          <w:highlight w:val="none"/>
        </w:rPr>
        <w:t>供方需具备满足以下研发及生产制造的工作条件：</w:t>
      </w:r>
    </w:p>
    <w:p w14:paraId="18E996B2">
      <w:pPr>
        <w:numPr>
          <w:ilvl w:val="0"/>
          <w:numId w:val="1"/>
        </w:numPr>
        <w:tabs>
          <w:tab w:val="left" w:pos="851"/>
          <w:tab w:val="clear" w:pos="720"/>
        </w:tabs>
        <w:spacing w:after="160" w:line="360" w:lineRule="auto"/>
        <w:ind w:hanging="11"/>
        <w:jc w:val="left"/>
        <w:rPr>
          <w:rFonts w:ascii="宋体" w:hAnsi="宋体"/>
          <w:color w:val="000000"/>
          <w:szCs w:val="21"/>
          <w:highlight w:val="none"/>
        </w:rPr>
      </w:pPr>
      <w:r>
        <w:rPr>
          <w:rFonts w:ascii="宋体" w:hAnsi="宋体"/>
          <w:color w:val="000000"/>
          <w:szCs w:val="21"/>
          <w:highlight w:val="none"/>
        </w:rPr>
        <w:t>原材料条件：具备获取高纯铅、高纯锂、富集锂-6等核心原材料的渠道与管控能力。</w:t>
      </w:r>
    </w:p>
    <w:p w14:paraId="56EE5024">
      <w:pPr>
        <w:numPr>
          <w:ilvl w:val="0"/>
          <w:numId w:val="1"/>
        </w:numPr>
        <w:tabs>
          <w:tab w:val="left" w:pos="851"/>
          <w:tab w:val="clear" w:pos="720"/>
        </w:tabs>
        <w:spacing w:after="160" w:line="360" w:lineRule="auto"/>
        <w:ind w:hanging="11"/>
        <w:jc w:val="left"/>
        <w:rPr>
          <w:rFonts w:ascii="宋体" w:hAnsi="宋体"/>
          <w:color w:val="000000"/>
          <w:szCs w:val="21"/>
          <w:highlight w:val="none"/>
        </w:rPr>
      </w:pPr>
      <w:r>
        <w:rPr>
          <w:rFonts w:ascii="宋体" w:hAnsi="宋体"/>
          <w:color w:val="000000"/>
          <w:szCs w:val="21"/>
          <w:highlight w:val="none"/>
        </w:rPr>
        <w:t>设备条件：拥有或可使用真空感应熔炼装置及相关配件、冷却铸锭装置及相关配件、惰性气氛包容装置等关键设施。</w:t>
      </w:r>
    </w:p>
    <w:p w14:paraId="740E1B3B">
      <w:pPr>
        <w:numPr>
          <w:ilvl w:val="0"/>
          <w:numId w:val="1"/>
        </w:numPr>
        <w:tabs>
          <w:tab w:val="left" w:pos="851"/>
          <w:tab w:val="clear" w:pos="720"/>
        </w:tabs>
        <w:spacing w:after="160" w:line="360" w:lineRule="auto"/>
        <w:ind w:hanging="11"/>
        <w:jc w:val="left"/>
        <w:rPr>
          <w:rFonts w:ascii="宋体" w:hAnsi="宋体"/>
          <w:color w:val="000000"/>
          <w:szCs w:val="21"/>
          <w:highlight w:val="none"/>
        </w:rPr>
      </w:pPr>
      <w:r>
        <w:rPr>
          <w:rFonts w:ascii="宋体" w:hAnsi="宋体"/>
          <w:color w:val="000000"/>
          <w:szCs w:val="21"/>
          <w:highlight w:val="none"/>
        </w:rPr>
        <w:t>环境条件：具备活泼金属储存环境，以及符合核材料或放射性同位素操作要求的特定安全防护环境。</w:t>
      </w:r>
    </w:p>
    <w:p w14:paraId="1EB83CFE">
      <w:pPr>
        <w:numPr>
          <w:ilvl w:val="0"/>
          <w:numId w:val="1"/>
        </w:numPr>
        <w:tabs>
          <w:tab w:val="left" w:pos="851"/>
          <w:tab w:val="clear" w:pos="720"/>
        </w:tabs>
        <w:spacing w:after="160" w:line="360" w:lineRule="auto"/>
        <w:ind w:hanging="11"/>
        <w:jc w:val="left"/>
        <w:rPr>
          <w:rFonts w:ascii="宋体" w:hAnsi="宋体"/>
          <w:color w:val="000000"/>
          <w:szCs w:val="21"/>
          <w:highlight w:val="none"/>
        </w:rPr>
      </w:pPr>
      <w:r>
        <w:rPr>
          <w:rFonts w:ascii="宋体" w:hAnsi="宋体"/>
          <w:color w:val="000000"/>
          <w:szCs w:val="21"/>
          <w:highlight w:val="none"/>
        </w:rPr>
        <w:t>检测条件：具备或可利用SEM-EDS（扫描电子显微镜-能谱仪）、ICP-OES/MS（电感耦合等离子体发射光谱仪/质谱仪）、XRD（X射线衍射仪）等精密检测分析手段的条件。</w:t>
      </w:r>
    </w:p>
    <w:p w14:paraId="60AF028D">
      <w:pPr>
        <w:pStyle w:val="2"/>
        <w:spacing w:line="360" w:lineRule="auto"/>
        <w:rPr>
          <w:rFonts w:hint="eastAsia" w:ascii="宋体" w:hAnsi="宋体" w:eastAsia="宋体"/>
          <w:color w:val="000000"/>
          <w:sz w:val="21"/>
          <w:szCs w:val="21"/>
          <w:highlight w:val="none"/>
        </w:rPr>
      </w:pPr>
    </w:p>
    <w:p w14:paraId="7A09468D">
      <w:pPr>
        <w:adjustRightInd w:val="0"/>
        <w:snapToGrid w:val="0"/>
        <w:spacing w:before="120" w:beforeLines="50" w:line="360" w:lineRule="auto"/>
        <w:rPr>
          <w:rFonts w:ascii="宋体" w:hAnsi="宋体"/>
          <w:b/>
          <w:color w:val="000000"/>
          <w:szCs w:val="21"/>
          <w:highlight w:val="none"/>
        </w:rPr>
      </w:pPr>
      <w:r>
        <w:rPr>
          <w:rFonts w:hint="eastAsia" w:ascii="宋体" w:hAnsi="宋体"/>
          <w:b/>
          <w:color w:val="000000"/>
          <w:szCs w:val="21"/>
          <w:highlight w:val="none"/>
        </w:rPr>
        <w:t>2.3、</w:t>
      </w:r>
      <w:r>
        <w:rPr>
          <w:rFonts w:ascii="宋体" w:hAnsi="宋体"/>
          <w:b/>
          <w:color w:val="000000"/>
          <w:szCs w:val="21"/>
          <w:highlight w:val="none"/>
        </w:rPr>
        <w:t xml:space="preserve"> 技术性能指标要求</w:t>
      </w:r>
      <w:r>
        <w:rPr>
          <w:rFonts w:ascii="宋体" w:hAnsi="宋体"/>
          <w:b/>
          <w:color w:val="000000"/>
          <w:szCs w:val="21"/>
          <w:highlight w:val="none"/>
        </w:rPr>
        <w:tab/>
      </w:r>
    </w:p>
    <w:p w14:paraId="367C390E">
      <w:pPr>
        <w:spacing w:after="160" w:line="360" w:lineRule="auto"/>
        <w:ind w:left="440" w:firstLine="210" w:firstLineChars="100"/>
        <w:jc w:val="left"/>
        <w:rPr>
          <w:rFonts w:ascii="宋体" w:hAnsi="宋体"/>
          <w:color w:val="000000"/>
          <w:szCs w:val="21"/>
          <w:highlight w:val="none"/>
        </w:rPr>
      </w:pPr>
      <w:r>
        <w:rPr>
          <w:rFonts w:hint="eastAsia" w:ascii="宋体" w:hAnsi="宋体"/>
          <w:color w:val="000000"/>
          <w:szCs w:val="21"/>
          <w:highlight w:val="none"/>
        </w:rPr>
        <w:t>2.3.1</w:t>
      </w:r>
      <w:r>
        <w:rPr>
          <w:rFonts w:ascii="宋体" w:hAnsi="宋体"/>
          <w:color w:val="000000"/>
          <w:szCs w:val="21"/>
          <w:highlight w:val="none"/>
        </w:rPr>
        <w:t>研发成果要求：</w:t>
      </w:r>
    </w:p>
    <w:p w14:paraId="3B7A0B2C">
      <w:pPr>
        <w:numPr>
          <w:ilvl w:val="1"/>
          <w:numId w:val="2"/>
        </w:numPr>
        <w:spacing w:after="160" w:line="360" w:lineRule="auto"/>
        <w:ind w:left="1134" w:hanging="454"/>
        <w:jc w:val="left"/>
        <w:rPr>
          <w:rFonts w:ascii="宋体" w:hAnsi="宋体"/>
          <w:color w:val="000000"/>
          <w:szCs w:val="21"/>
          <w:highlight w:val="none"/>
        </w:rPr>
      </w:pPr>
      <w:r>
        <w:rPr>
          <w:rFonts w:ascii="宋体" w:hAnsi="宋体"/>
          <w:color w:val="000000"/>
          <w:szCs w:val="21"/>
          <w:highlight w:val="none"/>
        </w:rPr>
        <w:t>形成完整的</w:t>
      </w:r>
      <w:r>
        <w:rPr>
          <w:rFonts w:ascii="宋体" w:hAnsi="宋体"/>
          <w:color w:val="000000"/>
          <w:szCs w:val="21"/>
          <w:highlight w:val="none"/>
          <w:vertAlign w:val="superscript"/>
        </w:rPr>
        <w:t>6</w:t>
      </w:r>
      <w:r>
        <w:rPr>
          <w:rFonts w:ascii="宋体" w:hAnsi="宋体"/>
          <w:color w:val="000000"/>
          <w:szCs w:val="21"/>
          <w:highlight w:val="none"/>
        </w:rPr>
        <w:t>Li</w:t>
      </w:r>
      <w:r>
        <w:rPr>
          <w:rFonts w:hint="eastAsia" w:ascii="宋体" w:hAnsi="宋体"/>
          <w:color w:val="000000"/>
          <w:szCs w:val="21"/>
          <w:highlight w:val="none"/>
          <w:vertAlign w:val="subscript"/>
        </w:rPr>
        <w:t>1</w:t>
      </w:r>
      <w:r>
        <w:rPr>
          <w:rFonts w:ascii="宋体" w:hAnsi="宋体"/>
          <w:color w:val="000000"/>
          <w:szCs w:val="21"/>
          <w:highlight w:val="none"/>
          <w:vertAlign w:val="subscript"/>
        </w:rPr>
        <w:t>7</w:t>
      </w:r>
      <w:r>
        <w:rPr>
          <w:rFonts w:ascii="宋体" w:hAnsi="宋体"/>
          <w:color w:val="000000"/>
          <w:szCs w:val="21"/>
          <w:highlight w:val="none"/>
        </w:rPr>
        <w:t>Pb</w:t>
      </w:r>
      <w:r>
        <w:rPr>
          <w:rFonts w:ascii="宋体" w:hAnsi="宋体"/>
          <w:color w:val="000000"/>
          <w:szCs w:val="21"/>
          <w:highlight w:val="none"/>
          <w:vertAlign w:val="subscript"/>
        </w:rPr>
        <w:t>83</w:t>
      </w:r>
      <w:r>
        <w:rPr>
          <w:rFonts w:ascii="宋体" w:hAnsi="宋体"/>
          <w:color w:val="000000"/>
          <w:szCs w:val="21"/>
          <w:highlight w:val="none"/>
        </w:rPr>
        <w:t>合金制备工艺方案，该方案需经过富集锂-6的验证。</w:t>
      </w:r>
    </w:p>
    <w:p w14:paraId="590D49C7">
      <w:pPr>
        <w:numPr>
          <w:ilvl w:val="1"/>
          <w:numId w:val="2"/>
        </w:numPr>
        <w:spacing w:after="160" w:line="360" w:lineRule="auto"/>
        <w:ind w:left="993" w:hanging="284"/>
        <w:jc w:val="left"/>
        <w:rPr>
          <w:rFonts w:ascii="宋体" w:hAnsi="宋体"/>
          <w:color w:val="000000"/>
          <w:szCs w:val="21"/>
          <w:highlight w:val="none"/>
        </w:rPr>
      </w:pPr>
      <w:r>
        <w:rPr>
          <w:rFonts w:ascii="宋体" w:hAnsi="宋体"/>
          <w:color w:val="000000"/>
          <w:szCs w:val="21"/>
          <w:highlight w:val="none"/>
        </w:rPr>
        <w:t>攻克锂含量控制、成分均匀性及杂质控制等关键技术，解决熔炼偏析难题。</w:t>
      </w:r>
    </w:p>
    <w:p w14:paraId="589B9E30">
      <w:pPr>
        <w:spacing w:after="160" w:line="360" w:lineRule="auto"/>
        <w:ind w:left="440" w:firstLine="210" w:firstLineChars="100"/>
        <w:jc w:val="left"/>
        <w:rPr>
          <w:rFonts w:ascii="宋体" w:hAnsi="宋体"/>
          <w:color w:val="000000"/>
          <w:szCs w:val="21"/>
          <w:highlight w:val="none"/>
        </w:rPr>
      </w:pPr>
      <w:r>
        <w:rPr>
          <w:rFonts w:hint="eastAsia" w:ascii="宋体" w:hAnsi="宋体"/>
          <w:color w:val="000000"/>
          <w:szCs w:val="21"/>
          <w:highlight w:val="none"/>
        </w:rPr>
        <w:t>2.3.2</w:t>
      </w:r>
      <w:r>
        <w:rPr>
          <w:rFonts w:ascii="宋体" w:hAnsi="宋体"/>
          <w:color w:val="000000"/>
          <w:szCs w:val="21"/>
          <w:highlight w:val="none"/>
        </w:rPr>
        <w:t>实物样品指标（Li</w:t>
      </w:r>
      <w:r>
        <w:rPr>
          <w:rFonts w:hint="eastAsia" w:ascii="宋体" w:hAnsi="宋体"/>
          <w:color w:val="000000"/>
          <w:szCs w:val="21"/>
          <w:highlight w:val="none"/>
          <w:vertAlign w:val="subscript"/>
        </w:rPr>
        <w:t>1</w:t>
      </w:r>
      <w:r>
        <w:rPr>
          <w:rFonts w:ascii="宋体" w:hAnsi="宋体"/>
          <w:color w:val="000000"/>
          <w:szCs w:val="21"/>
          <w:highlight w:val="none"/>
          <w:vertAlign w:val="subscript"/>
        </w:rPr>
        <w:t>7</w:t>
      </w:r>
      <w:r>
        <w:rPr>
          <w:rFonts w:ascii="宋体" w:hAnsi="宋体"/>
          <w:color w:val="000000"/>
          <w:szCs w:val="21"/>
          <w:highlight w:val="none"/>
        </w:rPr>
        <w:t>Pb</w:t>
      </w:r>
      <w:r>
        <w:rPr>
          <w:rFonts w:ascii="宋体" w:hAnsi="宋体"/>
          <w:color w:val="000000"/>
          <w:szCs w:val="21"/>
          <w:highlight w:val="none"/>
          <w:vertAlign w:val="subscript"/>
        </w:rPr>
        <w:t>83</w:t>
      </w:r>
      <w:r>
        <w:rPr>
          <w:rFonts w:ascii="宋体" w:hAnsi="宋体"/>
          <w:color w:val="000000"/>
          <w:szCs w:val="21"/>
          <w:highlight w:val="none"/>
        </w:rPr>
        <w:t>合金）：</w:t>
      </w:r>
    </w:p>
    <w:p w14:paraId="14802B77">
      <w:pPr>
        <w:numPr>
          <w:ilvl w:val="1"/>
          <w:numId w:val="3"/>
        </w:numPr>
        <w:spacing w:after="160" w:line="360" w:lineRule="auto"/>
        <w:ind w:hanging="171"/>
        <w:jc w:val="left"/>
        <w:rPr>
          <w:rFonts w:ascii="宋体" w:hAnsi="宋体"/>
          <w:color w:val="000000"/>
          <w:szCs w:val="21"/>
          <w:highlight w:val="none"/>
        </w:rPr>
      </w:pPr>
      <w:r>
        <w:rPr>
          <w:rFonts w:ascii="宋体" w:hAnsi="宋体"/>
          <w:color w:val="000000"/>
          <w:szCs w:val="21"/>
          <w:highlight w:val="none"/>
        </w:rPr>
        <w:t>数量：1kg</w:t>
      </w:r>
    </w:p>
    <w:p w14:paraId="190F31F8">
      <w:pPr>
        <w:numPr>
          <w:ilvl w:val="1"/>
          <w:numId w:val="3"/>
        </w:numPr>
        <w:spacing w:after="160" w:line="360" w:lineRule="auto"/>
        <w:ind w:hanging="171"/>
        <w:jc w:val="left"/>
        <w:rPr>
          <w:rFonts w:ascii="宋体" w:hAnsi="宋体"/>
          <w:color w:val="000000"/>
          <w:szCs w:val="21"/>
          <w:highlight w:val="none"/>
        </w:rPr>
      </w:pPr>
      <w:r>
        <w:rPr>
          <w:rFonts w:ascii="宋体" w:hAnsi="宋体"/>
          <w:color w:val="000000"/>
          <w:szCs w:val="21"/>
          <w:highlight w:val="none"/>
        </w:rPr>
        <w:t>成分规格：锂含量为17at%（原子百分比），允许偏差为±0.8at%。</w:t>
      </w:r>
    </w:p>
    <w:p w14:paraId="69B4AB1A">
      <w:pPr>
        <w:numPr>
          <w:ilvl w:val="1"/>
          <w:numId w:val="3"/>
        </w:numPr>
        <w:spacing w:after="160" w:line="360" w:lineRule="auto"/>
        <w:ind w:hanging="171"/>
        <w:jc w:val="left"/>
        <w:rPr>
          <w:rFonts w:ascii="宋体" w:hAnsi="宋体"/>
          <w:color w:val="000000"/>
          <w:szCs w:val="21"/>
          <w:highlight w:val="none"/>
        </w:rPr>
      </w:pPr>
      <w:r>
        <w:rPr>
          <w:rFonts w:ascii="宋体" w:hAnsi="宋体"/>
          <w:color w:val="000000"/>
          <w:szCs w:val="21"/>
          <w:highlight w:val="none"/>
        </w:rPr>
        <w:t>纯度要求：杂质总量≤600ppm。</w:t>
      </w:r>
    </w:p>
    <w:p w14:paraId="7C897EA4">
      <w:pPr>
        <w:adjustRightInd w:val="0"/>
        <w:snapToGrid w:val="0"/>
        <w:spacing w:before="120" w:beforeLines="50" w:line="360" w:lineRule="auto"/>
        <w:ind w:firstLine="211" w:firstLineChars="100"/>
        <w:rPr>
          <w:rFonts w:ascii="宋体" w:hAnsi="宋体"/>
          <w:b/>
          <w:color w:val="000000"/>
          <w:szCs w:val="21"/>
          <w:highlight w:val="none"/>
        </w:rPr>
      </w:pPr>
      <w:r>
        <w:rPr>
          <w:rFonts w:ascii="宋体" w:hAnsi="宋体"/>
          <w:b/>
          <w:color w:val="000000"/>
          <w:szCs w:val="21"/>
          <w:highlight w:val="none"/>
        </w:rPr>
        <w:t xml:space="preserve"> </w:t>
      </w:r>
      <w:r>
        <w:rPr>
          <w:rFonts w:hint="eastAsia" w:ascii="宋体" w:hAnsi="宋体"/>
          <w:b/>
          <w:color w:val="000000"/>
          <w:szCs w:val="21"/>
          <w:highlight w:val="none"/>
        </w:rPr>
        <w:t>2.4、</w:t>
      </w:r>
      <w:r>
        <w:rPr>
          <w:rFonts w:ascii="宋体" w:hAnsi="宋体"/>
          <w:b/>
          <w:color w:val="000000"/>
          <w:szCs w:val="21"/>
          <w:highlight w:val="none"/>
        </w:rPr>
        <w:t>技术服务要求及质保要求</w:t>
      </w:r>
    </w:p>
    <w:p w14:paraId="09C279F8">
      <w:pPr>
        <w:spacing w:after="160" w:line="360" w:lineRule="auto"/>
        <w:ind w:left="440" w:firstLine="210" w:firstLineChars="100"/>
        <w:jc w:val="left"/>
        <w:rPr>
          <w:rFonts w:ascii="宋体" w:hAnsi="宋体"/>
          <w:color w:val="000000"/>
          <w:szCs w:val="21"/>
          <w:highlight w:val="none"/>
        </w:rPr>
      </w:pPr>
      <w:r>
        <w:rPr>
          <w:rFonts w:hint="eastAsia" w:ascii="宋体" w:hAnsi="宋体"/>
          <w:color w:val="000000"/>
          <w:szCs w:val="21"/>
          <w:highlight w:val="none"/>
        </w:rPr>
        <w:t>2.4.1</w:t>
      </w:r>
      <w:r>
        <w:rPr>
          <w:rFonts w:ascii="宋体" w:hAnsi="宋体"/>
          <w:color w:val="000000"/>
          <w:szCs w:val="21"/>
          <w:highlight w:val="none"/>
        </w:rPr>
        <w:t>技术服务要求：</w:t>
      </w:r>
    </w:p>
    <w:p w14:paraId="492C9460">
      <w:pPr>
        <w:numPr>
          <w:ilvl w:val="1"/>
          <w:numId w:val="4"/>
        </w:numPr>
        <w:spacing w:after="160" w:line="360" w:lineRule="auto"/>
        <w:ind w:hanging="171"/>
        <w:jc w:val="left"/>
        <w:rPr>
          <w:rFonts w:ascii="宋体" w:hAnsi="宋体"/>
          <w:color w:val="000000"/>
          <w:szCs w:val="21"/>
          <w:highlight w:val="none"/>
        </w:rPr>
      </w:pPr>
      <w:r>
        <w:rPr>
          <w:rFonts w:ascii="宋体" w:hAnsi="宋体"/>
          <w:color w:val="000000"/>
          <w:szCs w:val="21"/>
          <w:highlight w:val="none"/>
        </w:rPr>
        <w:t>工艺方案设计：合同签订后6个月内，提交锂铅合金制备工艺设计方案，并经甲方认可。</w:t>
      </w:r>
    </w:p>
    <w:p w14:paraId="557F8E5C">
      <w:pPr>
        <w:numPr>
          <w:ilvl w:val="1"/>
          <w:numId w:val="4"/>
        </w:numPr>
        <w:spacing w:after="160" w:line="360" w:lineRule="auto"/>
        <w:ind w:hanging="171"/>
        <w:jc w:val="left"/>
        <w:rPr>
          <w:rFonts w:ascii="宋体" w:hAnsi="宋体"/>
          <w:color w:val="000000"/>
          <w:szCs w:val="21"/>
          <w:highlight w:val="none"/>
        </w:rPr>
      </w:pPr>
      <w:r>
        <w:rPr>
          <w:rFonts w:ascii="宋体" w:hAnsi="宋体"/>
          <w:color w:val="000000"/>
          <w:szCs w:val="21"/>
          <w:highlight w:val="none"/>
        </w:rPr>
        <w:t>最终交付：合同签订后24个月内，交付锂铅合金制备工艺研究报告、工艺方案及实物样品。</w:t>
      </w:r>
    </w:p>
    <w:p w14:paraId="22140954">
      <w:pPr>
        <w:numPr>
          <w:ilvl w:val="1"/>
          <w:numId w:val="4"/>
        </w:numPr>
        <w:spacing w:after="160" w:line="360" w:lineRule="auto"/>
        <w:ind w:hanging="171"/>
        <w:jc w:val="left"/>
        <w:rPr>
          <w:rFonts w:ascii="宋体" w:hAnsi="宋体"/>
          <w:color w:val="000000"/>
          <w:szCs w:val="21"/>
          <w:highlight w:val="none"/>
        </w:rPr>
      </w:pPr>
      <w:r>
        <w:rPr>
          <w:rFonts w:ascii="宋体" w:hAnsi="宋体"/>
          <w:color w:val="000000"/>
          <w:szCs w:val="21"/>
          <w:highlight w:val="none"/>
        </w:rPr>
        <w:t>后续能力支持：供方需具备后续开展富集锂-6铅合金辐照验证</w:t>
      </w:r>
      <w:r>
        <w:rPr>
          <w:rFonts w:hint="eastAsia" w:ascii="宋体" w:hAnsi="宋体"/>
          <w:color w:val="000000"/>
          <w:szCs w:val="21"/>
          <w:highlight w:val="none"/>
        </w:rPr>
        <w:t>的能力，</w:t>
      </w:r>
      <w:r>
        <w:rPr>
          <w:rFonts w:ascii="宋体" w:hAnsi="宋体"/>
          <w:color w:val="000000"/>
          <w:szCs w:val="21"/>
          <w:highlight w:val="none"/>
        </w:rPr>
        <w:t>以及批量化供应富集锂-6铅合金的资质</w:t>
      </w:r>
      <w:r>
        <w:rPr>
          <w:rFonts w:hint="eastAsia" w:ascii="宋体" w:hAnsi="宋体"/>
          <w:color w:val="000000"/>
          <w:szCs w:val="21"/>
          <w:highlight w:val="none"/>
        </w:rPr>
        <w:t>条件</w:t>
      </w:r>
      <w:r>
        <w:rPr>
          <w:rFonts w:ascii="宋体" w:hAnsi="宋体"/>
          <w:color w:val="000000"/>
          <w:szCs w:val="21"/>
          <w:highlight w:val="none"/>
        </w:rPr>
        <w:t>，以保证技术及产品的有效衔接。</w:t>
      </w:r>
    </w:p>
    <w:p w14:paraId="0187EC3B">
      <w:pPr>
        <w:pStyle w:val="6"/>
        <w:adjustRightInd w:val="0"/>
        <w:snapToGrid w:val="0"/>
        <w:spacing w:before="120" w:beforeLines="50" w:line="360" w:lineRule="auto"/>
        <w:ind w:left="440" w:firstLine="210" w:firstLineChars="100"/>
        <w:rPr>
          <w:rFonts w:ascii="宋体" w:hAnsi="宋体"/>
          <w:color w:val="000000"/>
          <w:szCs w:val="21"/>
          <w:highlight w:val="none"/>
        </w:rPr>
      </w:pPr>
      <w:r>
        <w:rPr>
          <w:rFonts w:hint="eastAsia" w:ascii="宋体" w:hAnsi="宋体"/>
          <w:color w:val="000000"/>
          <w:szCs w:val="21"/>
          <w:highlight w:val="none"/>
        </w:rPr>
        <w:t>2.4.2</w:t>
      </w:r>
      <w:r>
        <w:rPr>
          <w:rFonts w:ascii="宋体" w:hAnsi="宋体"/>
          <w:color w:val="000000"/>
          <w:szCs w:val="21"/>
          <w:highlight w:val="none"/>
        </w:rPr>
        <w:t>质保与售后服务</w:t>
      </w:r>
    </w:p>
    <w:p w14:paraId="7B551F11">
      <w:pPr>
        <w:pStyle w:val="6"/>
        <w:adjustRightInd w:val="0"/>
        <w:snapToGrid w:val="0"/>
        <w:spacing w:before="120" w:beforeLines="50" w:line="360" w:lineRule="auto"/>
        <w:ind w:left="440"/>
        <w:rPr>
          <w:rFonts w:ascii="宋体" w:hAnsi="宋体"/>
          <w:color w:val="000000"/>
          <w:szCs w:val="21"/>
          <w:highlight w:val="none"/>
        </w:rPr>
      </w:pPr>
      <w:r>
        <w:rPr>
          <w:rFonts w:ascii="宋体" w:hAnsi="宋体"/>
          <w:color w:val="000000"/>
          <w:szCs w:val="21"/>
          <w:highlight w:val="none"/>
        </w:rPr>
        <w:t>质保期：自本项目最终验收合格之日起</w:t>
      </w:r>
      <w:r>
        <w:rPr>
          <w:rFonts w:hint="eastAsia" w:ascii="宋体" w:hAnsi="宋体"/>
          <w:color w:val="000000"/>
          <w:szCs w:val="21"/>
          <w:highlight w:val="none"/>
        </w:rPr>
        <w:t>12</w:t>
      </w:r>
      <w:r>
        <w:rPr>
          <w:rFonts w:ascii="宋体" w:hAnsi="宋体"/>
          <w:color w:val="000000"/>
          <w:szCs w:val="21"/>
          <w:highlight w:val="none"/>
        </w:rPr>
        <w:t>个月。</w:t>
      </w:r>
    </w:p>
    <w:p w14:paraId="43F82399">
      <w:pPr>
        <w:pStyle w:val="6"/>
        <w:adjustRightInd w:val="0"/>
        <w:snapToGrid w:val="0"/>
        <w:spacing w:before="120" w:beforeLines="50" w:line="360" w:lineRule="auto"/>
        <w:ind w:left="210" w:leftChars="100" w:firstLine="640" w:firstLineChars="305"/>
        <w:rPr>
          <w:rFonts w:ascii="宋体" w:hAnsi="宋体"/>
          <w:color w:val="000000"/>
          <w:szCs w:val="21"/>
          <w:highlight w:val="none"/>
        </w:rPr>
      </w:pPr>
      <w:r>
        <w:rPr>
          <w:rFonts w:hint="eastAsia" w:ascii="宋体" w:hAnsi="宋体"/>
          <w:color w:val="000000"/>
          <w:szCs w:val="21"/>
          <w:highlight w:val="none"/>
        </w:rPr>
        <w:t>12</w:t>
      </w:r>
      <w:r>
        <w:rPr>
          <w:rFonts w:ascii="宋体" w:hAnsi="宋体"/>
          <w:color w:val="000000"/>
          <w:szCs w:val="21"/>
          <w:highlight w:val="none"/>
        </w:rPr>
        <w:t>范围及内容：</w:t>
      </w:r>
    </w:p>
    <w:p w14:paraId="7DAB3616">
      <w:pPr>
        <w:pStyle w:val="6"/>
        <w:adjustRightInd w:val="0"/>
        <w:snapToGrid w:val="0"/>
        <w:spacing w:before="120" w:beforeLines="50" w:line="360" w:lineRule="auto"/>
        <w:ind w:left="210" w:leftChars="100" w:firstLine="640" w:firstLineChars="305"/>
        <w:rPr>
          <w:rFonts w:ascii="宋体" w:hAnsi="宋体"/>
          <w:color w:val="000000"/>
          <w:szCs w:val="21"/>
          <w:highlight w:val="none"/>
        </w:rPr>
      </w:pPr>
      <w:r>
        <w:rPr>
          <w:rFonts w:hint="eastAsia" w:ascii="宋体" w:hAnsi="宋体"/>
          <w:color w:val="000000"/>
          <w:szCs w:val="21"/>
          <w:highlight w:val="none"/>
        </w:rPr>
        <w:t>（1）</w:t>
      </w:r>
      <w:r>
        <w:rPr>
          <w:rFonts w:ascii="宋体" w:hAnsi="宋体"/>
          <w:color w:val="000000"/>
          <w:szCs w:val="21"/>
          <w:highlight w:val="none"/>
        </w:rPr>
        <w:t>在质保期内</w:t>
      </w:r>
      <w:r>
        <w:rPr>
          <w:rFonts w:hint="eastAsia" w:ascii="宋体" w:hAnsi="宋体"/>
          <w:color w:val="000000"/>
          <w:szCs w:val="21"/>
          <w:highlight w:val="none"/>
        </w:rPr>
        <w:t>：</w:t>
      </w:r>
    </w:p>
    <w:p w14:paraId="1C521B7D">
      <w:pPr>
        <w:pStyle w:val="6"/>
        <w:adjustRightInd w:val="0"/>
        <w:snapToGrid w:val="0"/>
        <w:spacing w:before="120" w:beforeLines="50" w:line="360" w:lineRule="auto"/>
        <w:ind w:left="440"/>
        <w:rPr>
          <w:rFonts w:ascii="宋体" w:hAnsi="宋体"/>
          <w:color w:val="000000"/>
          <w:szCs w:val="21"/>
          <w:highlight w:val="none"/>
        </w:rPr>
      </w:pPr>
      <w:r>
        <w:rPr>
          <w:rFonts w:ascii="宋体" w:hAnsi="宋体"/>
          <w:color w:val="000000"/>
          <w:szCs w:val="21"/>
          <w:highlight w:val="none"/>
        </w:rPr>
        <w:t>乙方对交付的“Li</w:t>
      </w:r>
      <w:r>
        <w:rPr>
          <w:rFonts w:hint="eastAsia" w:ascii="宋体" w:hAnsi="宋体"/>
          <w:color w:val="000000"/>
          <w:szCs w:val="21"/>
          <w:highlight w:val="none"/>
          <w:vertAlign w:val="subscript"/>
        </w:rPr>
        <w:t>1</w:t>
      </w:r>
      <w:r>
        <w:rPr>
          <w:rFonts w:ascii="宋体" w:hAnsi="宋体"/>
          <w:color w:val="000000"/>
          <w:szCs w:val="21"/>
          <w:highlight w:val="none"/>
          <w:vertAlign w:val="subscript"/>
        </w:rPr>
        <w:t>7</w:t>
      </w:r>
      <w:r>
        <w:rPr>
          <w:rFonts w:ascii="宋体" w:hAnsi="宋体"/>
          <w:color w:val="000000"/>
          <w:szCs w:val="21"/>
          <w:highlight w:val="none"/>
        </w:rPr>
        <w:t>Pb</w:t>
      </w:r>
      <w:r>
        <w:rPr>
          <w:rFonts w:ascii="宋体" w:hAnsi="宋体"/>
          <w:color w:val="000000"/>
          <w:szCs w:val="21"/>
          <w:highlight w:val="none"/>
          <w:vertAlign w:val="subscript"/>
        </w:rPr>
        <w:t>83</w:t>
      </w:r>
      <w:r>
        <w:rPr>
          <w:rFonts w:ascii="宋体" w:hAnsi="宋体"/>
          <w:color w:val="000000"/>
          <w:szCs w:val="21"/>
          <w:highlight w:val="none"/>
        </w:rPr>
        <w:t>合金制备工艺方案”及“Li</w:t>
      </w:r>
      <w:r>
        <w:rPr>
          <w:rFonts w:hint="eastAsia" w:ascii="宋体" w:hAnsi="宋体"/>
          <w:color w:val="000000"/>
          <w:szCs w:val="21"/>
          <w:highlight w:val="none"/>
          <w:vertAlign w:val="subscript"/>
        </w:rPr>
        <w:t>1</w:t>
      </w:r>
      <w:r>
        <w:rPr>
          <w:rFonts w:ascii="宋体" w:hAnsi="宋体"/>
          <w:color w:val="000000"/>
          <w:szCs w:val="21"/>
          <w:highlight w:val="none"/>
          <w:vertAlign w:val="subscript"/>
        </w:rPr>
        <w:t>7</w:t>
      </w:r>
      <w:r>
        <w:rPr>
          <w:rFonts w:ascii="宋体" w:hAnsi="宋体"/>
          <w:color w:val="000000"/>
          <w:szCs w:val="21"/>
          <w:highlight w:val="none"/>
        </w:rPr>
        <w:t>Pb</w:t>
      </w:r>
      <w:r>
        <w:rPr>
          <w:rFonts w:ascii="宋体" w:hAnsi="宋体"/>
          <w:color w:val="000000"/>
          <w:szCs w:val="21"/>
          <w:highlight w:val="none"/>
          <w:vertAlign w:val="subscript"/>
        </w:rPr>
        <w:t>83</w:t>
      </w:r>
      <w:r>
        <w:rPr>
          <w:rFonts w:ascii="宋体" w:hAnsi="宋体"/>
          <w:color w:val="000000"/>
          <w:szCs w:val="21"/>
          <w:highlight w:val="none"/>
        </w:rPr>
        <w:t>合金实物样品”的质量承担保证责任。质保期内服务内容包括：</w:t>
      </w:r>
    </w:p>
    <w:p w14:paraId="0AB58362">
      <w:pPr>
        <w:numPr>
          <w:ilvl w:val="0"/>
          <w:numId w:val="5"/>
        </w:numPr>
        <w:adjustRightInd w:val="0"/>
        <w:snapToGrid w:val="0"/>
        <w:spacing w:before="120" w:beforeLines="50" w:line="360" w:lineRule="auto"/>
        <w:ind w:firstLine="411"/>
        <w:rPr>
          <w:rFonts w:ascii="宋体" w:hAnsi="宋体"/>
          <w:color w:val="000000"/>
          <w:szCs w:val="21"/>
          <w:highlight w:val="none"/>
        </w:rPr>
      </w:pPr>
      <w:r>
        <w:rPr>
          <w:rFonts w:ascii="宋体" w:hAnsi="宋体"/>
          <w:color w:val="000000"/>
          <w:szCs w:val="21"/>
          <w:highlight w:val="none"/>
        </w:rPr>
        <w:t>工艺技术质保：乙方保证所提供的制备工艺方案科学、可行，甲方依据该方案进行复验或小批量试制时，如因工艺设计缺陷导致无法达到技术指标要求，乙方需免费提供技术指导，负责对工艺进行优化调整，直至达到技术要求。</w:t>
      </w:r>
    </w:p>
    <w:p w14:paraId="0877F334">
      <w:pPr>
        <w:numPr>
          <w:ilvl w:val="0"/>
          <w:numId w:val="5"/>
        </w:numPr>
        <w:adjustRightInd w:val="0"/>
        <w:snapToGrid w:val="0"/>
        <w:spacing w:before="120" w:beforeLines="50" w:line="360" w:lineRule="auto"/>
        <w:ind w:firstLine="411"/>
        <w:rPr>
          <w:rFonts w:ascii="宋体" w:hAnsi="宋体"/>
          <w:color w:val="000000"/>
          <w:szCs w:val="21"/>
          <w:highlight w:val="none"/>
        </w:rPr>
      </w:pPr>
      <w:r>
        <w:rPr>
          <w:rFonts w:ascii="宋体" w:hAnsi="宋体"/>
          <w:color w:val="000000"/>
          <w:szCs w:val="21"/>
          <w:highlight w:val="none"/>
        </w:rPr>
        <w:t>实物样品质保：交付的实物样品应满足合同约定的纯度、成分及均匀性指标。如验收后经甲方复核发现样品指标不符合合同要求，乙方应免费重新进行制备、检测并交付合格样品。</w:t>
      </w:r>
    </w:p>
    <w:p w14:paraId="11B75846">
      <w:pPr>
        <w:numPr>
          <w:ilvl w:val="0"/>
          <w:numId w:val="5"/>
        </w:numPr>
        <w:adjustRightInd w:val="0"/>
        <w:snapToGrid w:val="0"/>
        <w:spacing w:before="120" w:beforeLines="50" w:line="360" w:lineRule="auto"/>
        <w:ind w:firstLine="411"/>
        <w:rPr>
          <w:rFonts w:ascii="宋体" w:hAnsi="宋体"/>
          <w:color w:val="000000"/>
          <w:szCs w:val="21"/>
          <w:highlight w:val="none"/>
        </w:rPr>
      </w:pPr>
      <w:r>
        <w:rPr>
          <w:rFonts w:ascii="宋体" w:hAnsi="宋体"/>
          <w:color w:val="000000"/>
          <w:szCs w:val="21"/>
          <w:highlight w:val="none"/>
        </w:rPr>
        <w:t>响应及解决机制：如质保期内甲方在工艺理解、参数控制或样品使用方面存在疑问，乙方应于24小时内做出响应，并在接到甲方通知后48小时内组织技术专家提供详细的分析报告或书面解决方案；必要时，乙方技术人员应在72小时内到达甲方现场提供技术支持。</w:t>
      </w:r>
    </w:p>
    <w:p w14:paraId="4E56A79F">
      <w:pPr>
        <w:pStyle w:val="6"/>
        <w:adjustRightInd w:val="0"/>
        <w:snapToGrid w:val="0"/>
        <w:spacing w:before="120" w:beforeLines="50" w:after="160" w:line="360" w:lineRule="auto"/>
        <w:ind w:left="630" w:leftChars="200" w:hanging="210" w:hangingChars="100"/>
        <w:contextualSpacing/>
        <w:jc w:val="left"/>
        <w:rPr>
          <w:rFonts w:ascii="宋体" w:hAnsi="宋体"/>
          <w:color w:val="000000"/>
          <w:szCs w:val="21"/>
          <w:highlight w:val="none"/>
        </w:rPr>
      </w:pPr>
      <w:r>
        <w:rPr>
          <w:rFonts w:hint="eastAsia" w:ascii="宋体" w:hAnsi="宋体"/>
          <w:color w:val="000000"/>
          <w:szCs w:val="21"/>
          <w:highlight w:val="none"/>
        </w:rPr>
        <w:t>（2）</w:t>
      </w:r>
      <w:r>
        <w:rPr>
          <w:rFonts w:ascii="宋体" w:hAnsi="宋体"/>
          <w:color w:val="000000"/>
          <w:szCs w:val="21"/>
          <w:highlight w:val="none"/>
        </w:rPr>
        <w:t>售后服务（质保期外）：</w:t>
      </w:r>
      <w:r>
        <w:rPr>
          <w:rFonts w:ascii="宋体" w:hAnsi="宋体"/>
          <w:color w:val="000000"/>
          <w:szCs w:val="21"/>
          <w:highlight w:val="none"/>
        </w:rPr>
        <w:br w:type="textWrapping"/>
      </w:r>
      <w:r>
        <w:rPr>
          <w:rFonts w:ascii="宋体" w:hAnsi="宋体"/>
          <w:color w:val="000000"/>
          <w:szCs w:val="21"/>
          <w:highlight w:val="none"/>
        </w:rPr>
        <w:t>质保期届满后，乙方仍应提供长期的技术支持服务。</w:t>
      </w:r>
    </w:p>
    <w:p w14:paraId="320912DF">
      <w:pPr>
        <w:numPr>
          <w:ilvl w:val="0"/>
          <w:numId w:val="6"/>
        </w:numPr>
        <w:adjustRightInd w:val="0"/>
        <w:snapToGrid w:val="0"/>
        <w:spacing w:before="120" w:beforeLines="50" w:line="360" w:lineRule="auto"/>
        <w:ind w:firstLine="411"/>
        <w:rPr>
          <w:rFonts w:ascii="宋体" w:hAnsi="宋体"/>
          <w:color w:val="000000"/>
          <w:szCs w:val="21"/>
          <w:highlight w:val="none"/>
        </w:rPr>
      </w:pPr>
      <w:r>
        <w:rPr>
          <w:rFonts w:ascii="宋体" w:hAnsi="宋体"/>
          <w:color w:val="000000"/>
          <w:szCs w:val="21"/>
          <w:highlight w:val="none"/>
        </w:rPr>
        <w:t>持续技术支持：乙方应协助甲方解决后续在锂铅合金制备及应用过程中遇到的技术问题。</w:t>
      </w:r>
    </w:p>
    <w:p w14:paraId="71C32B54">
      <w:pPr>
        <w:numPr>
          <w:ilvl w:val="0"/>
          <w:numId w:val="6"/>
        </w:numPr>
        <w:adjustRightInd w:val="0"/>
        <w:snapToGrid w:val="0"/>
        <w:spacing w:before="120" w:beforeLines="50" w:line="360" w:lineRule="auto"/>
        <w:ind w:firstLine="411"/>
        <w:rPr>
          <w:rFonts w:ascii="宋体" w:hAnsi="宋体"/>
          <w:color w:val="000000"/>
          <w:szCs w:val="21"/>
          <w:highlight w:val="none"/>
        </w:rPr>
      </w:pPr>
      <w:r>
        <w:rPr>
          <w:rFonts w:ascii="宋体" w:hAnsi="宋体"/>
          <w:color w:val="000000"/>
          <w:szCs w:val="21"/>
          <w:highlight w:val="none"/>
        </w:rPr>
        <w:t>服务响应：如质保期外存在问题，乙方服务工程师应在接到甲方通知72小时内给予技术反馈或根据需求赶到现场进行处理，相关服务费用双方另行协商。</w:t>
      </w:r>
    </w:p>
    <w:p w14:paraId="7D1E24B8">
      <w:pPr>
        <w:adjustRightInd w:val="0"/>
        <w:snapToGrid w:val="0"/>
        <w:spacing w:before="120" w:beforeLines="50" w:line="360" w:lineRule="auto"/>
        <w:rPr>
          <w:rFonts w:ascii="宋体" w:hAnsi="宋体"/>
          <w:b/>
          <w:color w:val="000000"/>
          <w:szCs w:val="21"/>
          <w:highlight w:val="none"/>
        </w:rPr>
      </w:pPr>
      <w:r>
        <w:rPr>
          <w:rFonts w:hint="eastAsia" w:ascii="宋体" w:hAnsi="宋体"/>
          <w:b/>
          <w:color w:val="000000"/>
          <w:szCs w:val="21"/>
          <w:highlight w:val="none"/>
        </w:rPr>
        <w:t>2.5、</w:t>
      </w:r>
      <w:r>
        <w:rPr>
          <w:rFonts w:ascii="宋体" w:hAnsi="宋体"/>
          <w:b/>
          <w:color w:val="000000"/>
          <w:szCs w:val="21"/>
          <w:highlight w:val="none"/>
        </w:rPr>
        <w:t>验收标准及验收程序</w:t>
      </w:r>
      <w:r>
        <w:rPr>
          <w:rFonts w:ascii="宋体" w:hAnsi="宋体"/>
          <w:b/>
          <w:color w:val="000000"/>
          <w:szCs w:val="21"/>
          <w:highlight w:val="none"/>
        </w:rPr>
        <w:tab/>
      </w:r>
    </w:p>
    <w:p w14:paraId="24E0B0F0">
      <w:pPr>
        <w:pStyle w:val="2"/>
        <w:spacing w:after="160" w:line="360" w:lineRule="auto"/>
        <w:ind w:firstLine="420" w:firstLineChars="200"/>
        <w:rPr>
          <w:rFonts w:ascii="宋体" w:hAnsi="宋体" w:eastAsia="宋体"/>
          <w:color w:val="000000"/>
          <w:sz w:val="21"/>
          <w:szCs w:val="21"/>
          <w:highlight w:val="none"/>
        </w:rPr>
      </w:pPr>
      <w:r>
        <w:rPr>
          <w:rFonts w:hint="eastAsia" w:ascii="宋体" w:hAnsi="宋体" w:eastAsia="宋体"/>
          <w:color w:val="000000"/>
          <w:sz w:val="21"/>
          <w:szCs w:val="21"/>
          <w:highlight w:val="none"/>
        </w:rPr>
        <w:t>2.5.1</w:t>
      </w:r>
      <w:r>
        <w:rPr>
          <w:rFonts w:ascii="宋体" w:hAnsi="宋体" w:eastAsia="宋体"/>
          <w:color w:val="000000"/>
          <w:sz w:val="21"/>
          <w:szCs w:val="21"/>
          <w:highlight w:val="none"/>
        </w:rPr>
        <w:t xml:space="preserve"> 整体验收要求</w:t>
      </w:r>
    </w:p>
    <w:p w14:paraId="3E632549">
      <w:pPr>
        <w:pStyle w:val="2"/>
        <w:spacing w:after="160" w:line="360" w:lineRule="auto"/>
        <w:ind w:firstLine="420" w:firstLineChars="200"/>
        <w:rPr>
          <w:rFonts w:ascii="宋体" w:hAnsi="宋体" w:eastAsia="宋体"/>
          <w:color w:val="000000"/>
          <w:sz w:val="21"/>
          <w:szCs w:val="21"/>
          <w:highlight w:val="none"/>
        </w:rPr>
      </w:pPr>
      <w:r>
        <w:rPr>
          <w:rFonts w:ascii="宋体" w:hAnsi="宋体" w:eastAsia="宋体"/>
          <w:color w:val="000000"/>
          <w:sz w:val="21"/>
          <w:szCs w:val="21"/>
          <w:highlight w:val="none"/>
        </w:rPr>
        <w:t>验收分阶段进行，第一阶段为工艺设计方案评审验收，验收目标：确认乙方提交的锂铅合金制备工艺设计方案完整、合理，能够满足后续实物制备的技术路线要求，可作为样品制备的依据；第二阶段为最终交付验收，验收目标：确认交付的研究报告数据详实可靠，实物样品的各项性能指标（成分、杂质、均匀性）完全符合合同技术规格要求，且相关技术资料齐全。验收前，由乙方制定验收大纲，甲方组织专家对验收大纲进行评审，评审合格后再按验收大纲进行验收。主要验收内容有：工艺设计方案评审、研究报告审查、实物样品外观及包装检查、关键技术指标检测、技术资料清点，双方签署验收报告。</w:t>
      </w:r>
      <w:r>
        <w:rPr>
          <w:rFonts w:ascii="宋体" w:hAnsi="宋体" w:eastAsia="宋体"/>
          <w:color w:val="000000"/>
          <w:sz w:val="21"/>
          <w:szCs w:val="21"/>
          <w:highlight w:val="none"/>
        </w:rPr>
        <w:br w:type="textWrapping"/>
      </w:r>
      <w:r>
        <w:rPr>
          <w:rFonts w:hint="eastAsia" w:ascii="宋体" w:hAnsi="宋体" w:eastAsia="宋体"/>
          <w:color w:val="000000"/>
          <w:sz w:val="21"/>
          <w:szCs w:val="21"/>
          <w:highlight w:val="none"/>
        </w:rPr>
        <w:t xml:space="preserve">    </w:t>
      </w:r>
      <w:r>
        <w:rPr>
          <w:rFonts w:ascii="宋体" w:hAnsi="宋体" w:eastAsia="宋体"/>
          <w:color w:val="000000"/>
          <w:sz w:val="21"/>
          <w:szCs w:val="21"/>
          <w:highlight w:val="none"/>
        </w:rPr>
        <w:t>验收方式结合会议评审与现场检测，需满足本合同技术规范书中关于采购内容、数量和技术规范的要求。</w:t>
      </w:r>
    </w:p>
    <w:p w14:paraId="668AEF0B">
      <w:pPr>
        <w:pStyle w:val="2"/>
        <w:spacing w:after="160" w:line="360" w:lineRule="auto"/>
        <w:ind w:firstLine="420" w:firstLineChars="200"/>
        <w:rPr>
          <w:rFonts w:ascii="宋体" w:hAnsi="宋体" w:eastAsia="宋体"/>
          <w:color w:val="000000"/>
          <w:sz w:val="21"/>
          <w:szCs w:val="21"/>
          <w:highlight w:val="none"/>
        </w:rPr>
      </w:pPr>
      <w:r>
        <w:rPr>
          <w:rFonts w:hint="eastAsia" w:ascii="宋体" w:hAnsi="宋体" w:eastAsia="宋体"/>
          <w:color w:val="000000"/>
          <w:sz w:val="21"/>
          <w:szCs w:val="21"/>
          <w:highlight w:val="none"/>
        </w:rPr>
        <w:t>2.5.2</w:t>
      </w:r>
      <w:r>
        <w:rPr>
          <w:rFonts w:ascii="宋体" w:hAnsi="宋体" w:eastAsia="宋体"/>
          <w:color w:val="000000"/>
          <w:sz w:val="21"/>
          <w:szCs w:val="21"/>
          <w:highlight w:val="none"/>
        </w:rPr>
        <w:t>工艺设计方案评审验收</w:t>
      </w:r>
    </w:p>
    <w:p w14:paraId="7136AB8B">
      <w:pPr>
        <w:pStyle w:val="2"/>
        <w:spacing w:after="160" w:line="360" w:lineRule="auto"/>
        <w:ind w:firstLine="420" w:firstLineChars="200"/>
        <w:rPr>
          <w:rFonts w:ascii="宋体" w:hAnsi="宋体" w:eastAsia="宋体"/>
          <w:color w:val="000000"/>
          <w:sz w:val="21"/>
          <w:szCs w:val="21"/>
          <w:highlight w:val="none"/>
        </w:rPr>
      </w:pPr>
      <w:r>
        <w:rPr>
          <w:rFonts w:ascii="宋体" w:hAnsi="宋体" w:eastAsia="宋体"/>
          <w:color w:val="000000"/>
          <w:sz w:val="21"/>
          <w:szCs w:val="21"/>
          <w:highlight w:val="none"/>
        </w:rPr>
        <w:t>针对合同签订后6个月提交的“锂铅合金制备工艺设计方案”进行节点验收。验收内容包括：工艺技术路线的可行性分析、富集锂-6利用及安全保障方案、关键工艺参数控制措施、质量检测计划等。由甲方组织相关专家召开评审会，确认方案通过后方可进入下一阶段的实物制备工作。</w:t>
      </w:r>
    </w:p>
    <w:p w14:paraId="7A6A8D5A">
      <w:pPr>
        <w:pStyle w:val="2"/>
        <w:spacing w:after="160" w:line="360" w:lineRule="auto"/>
        <w:ind w:firstLine="420" w:firstLineChars="200"/>
        <w:rPr>
          <w:rFonts w:ascii="宋体" w:hAnsi="宋体" w:eastAsia="宋体"/>
          <w:color w:val="000000"/>
          <w:sz w:val="21"/>
          <w:szCs w:val="21"/>
          <w:highlight w:val="none"/>
        </w:rPr>
      </w:pPr>
      <w:r>
        <w:rPr>
          <w:rFonts w:hint="eastAsia" w:ascii="宋体" w:hAnsi="宋体" w:eastAsia="宋体"/>
          <w:color w:val="000000"/>
          <w:sz w:val="21"/>
          <w:szCs w:val="21"/>
          <w:highlight w:val="none"/>
        </w:rPr>
        <w:t xml:space="preserve">2.5.3 </w:t>
      </w:r>
      <w:r>
        <w:rPr>
          <w:rFonts w:ascii="宋体" w:hAnsi="宋体" w:eastAsia="宋体"/>
          <w:color w:val="000000"/>
          <w:sz w:val="21"/>
          <w:szCs w:val="21"/>
          <w:highlight w:val="none"/>
        </w:rPr>
        <w:t>到货及开箱验收</w:t>
      </w:r>
    </w:p>
    <w:p w14:paraId="5F4B99CC">
      <w:pPr>
        <w:pStyle w:val="2"/>
        <w:spacing w:after="160" w:line="360" w:lineRule="auto"/>
        <w:ind w:firstLine="420" w:firstLineChars="200"/>
        <w:rPr>
          <w:rFonts w:ascii="宋体" w:hAnsi="宋体" w:eastAsia="宋体"/>
          <w:color w:val="000000"/>
          <w:sz w:val="21"/>
          <w:szCs w:val="21"/>
          <w:highlight w:val="none"/>
        </w:rPr>
      </w:pPr>
      <w:r>
        <w:rPr>
          <w:rFonts w:ascii="宋体" w:hAnsi="宋体" w:eastAsia="宋体"/>
          <w:color w:val="000000"/>
          <w:sz w:val="21"/>
          <w:szCs w:val="21"/>
          <w:highlight w:val="none"/>
        </w:rPr>
        <w:t>实物样品（Li</w:t>
      </w:r>
      <w:r>
        <w:rPr>
          <w:rFonts w:ascii="宋体" w:hAnsi="宋体" w:eastAsia="宋体"/>
          <w:color w:val="000000"/>
          <w:sz w:val="21"/>
          <w:szCs w:val="21"/>
          <w:highlight w:val="none"/>
          <w:vertAlign w:val="subscript"/>
        </w:rPr>
        <w:t>17</w:t>
      </w:r>
      <w:r>
        <w:rPr>
          <w:rFonts w:ascii="宋体" w:hAnsi="宋体" w:eastAsia="宋体"/>
          <w:color w:val="000000"/>
          <w:sz w:val="21"/>
          <w:szCs w:val="21"/>
          <w:highlight w:val="none"/>
        </w:rPr>
        <w:t>Pb</w:t>
      </w:r>
      <w:r>
        <w:rPr>
          <w:rFonts w:ascii="宋体" w:hAnsi="宋体" w:eastAsia="宋体"/>
          <w:color w:val="000000"/>
          <w:sz w:val="21"/>
          <w:szCs w:val="21"/>
          <w:highlight w:val="none"/>
          <w:vertAlign w:val="subscript"/>
        </w:rPr>
        <w:t>83</w:t>
      </w:r>
      <w:r>
        <w:rPr>
          <w:rFonts w:ascii="宋体" w:hAnsi="宋体" w:eastAsia="宋体"/>
          <w:color w:val="000000"/>
          <w:sz w:val="21"/>
          <w:szCs w:val="21"/>
          <w:highlight w:val="none"/>
        </w:rPr>
        <w:t>合金）到货后进行开箱验收。验收内容包括：交付样品的数量核对（1kg）、包装完好性检查（特别是针对活泼金属的惰性气氛包装保护情况）、随货同行单据（如出厂检测报告、安全操作说明书等）的齐全性检查，以及样品外观质量的初步确认。</w:t>
      </w:r>
    </w:p>
    <w:p w14:paraId="6F6DCEA9">
      <w:pPr>
        <w:pStyle w:val="2"/>
        <w:spacing w:after="160" w:line="360" w:lineRule="auto"/>
        <w:ind w:firstLine="420" w:firstLineChars="200"/>
        <w:rPr>
          <w:rFonts w:ascii="宋体" w:hAnsi="宋体" w:eastAsia="宋体"/>
          <w:color w:val="000000"/>
          <w:sz w:val="21"/>
          <w:szCs w:val="21"/>
          <w:highlight w:val="none"/>
        </w:rPr>
      </w:pPr>
      <w:r>
        <w:rPr>
          <w:rFonts w:hint="eastAsia" w:ascii="宋体" w:hAnsi="宋体" w:eastAsia="宋体"/>
          <w:color w:val="000000"/>
          <w:sz w:val="21"/>
          <w:szCs w:val="21"/>
          <w:highlight w:val="none"/>
        </w:rPr>
        <w:t xml:space="preserve">2.5.4 </w:t>
      </w:r>
      <w:r>
        <w:rPr>
          <w:rFonts w:ascii="宋体" w:hAnsi="宋体" w:eastAsia="宋体"/>
          <w:color w:val="000000"/>
          <w:sz w:val="21"/>
          <w:szCs w:val="21"/>
          <w:highlight w:val="none"/>
        </w:rPr>
        <w:t>性能测试与最终验收</w:t>
      </w:r>
    </w:p>
    <w:p w14:paraId="286B2739">
      <w:pPr>
        <w:pStyle w:val="2"/>
        <w:numPr>
          <w:ilvl w:val="0"/>
          <w:numId w:val="7"/>
        </w:numPr>
        <w:tabs>
          <w:tab w:val="left" w:pos="567"/>
          <w:tab w:val="clear" w:pos="720"/>
        </w:tabs>
        <w:spacing w:after="160" w:line="360" w:lineRule="auto"/>
        <w:ind w:left="142" w:firstLine="424" w:firstLineChars="202"/>
        <w:rPr>
          <w:rFonts w:ascii="宋体" w:hAnsi="宋体" w:eastAsia="宋体"/>
          <w:color w:val="000000"/>
          <w:sz w:val="21"/>
          <w:szCs w:val="21"/>
          <w:highlight w:val="none"/>
        </w:rPr>
      </w:pPr>
      <w:r>
        <w:rPr>
          <w:rFonts w:ascii="宋体" w:hAnsi="宋体" w:eastAsia="宋体"/>
          <w:color w:val="000000"/>
          <w:sz w:val="21"/>
          <w:szCs w:val="21"/>
          <w:highlight w:val="none"/>
        </w:rPr>
        <w:t>技术资料交付：乙方按合同要求提交《Li</w:t>
      </w:r>
      <w:r>
        <w:rPr>
          <w:rFonts w:ascii="宋体" w:hAnsi="宋体" w:eastAsia="宋体"/>
          <w:color w:val="000000"/>
          <w:sz w:val="21"/>
          <w:szCs w:val="21"/>
          <w:highlight w:val="none"/>
          <w:vertAlign w:val="subscript"/>
        </w:rPr>
        <w:t>17</w:t>
      </w:r>
      <w:r>
        <w:rPr>
          <w:rFonts w:ascii="宋体" w:hAnsi="宋体" w:eastAsia="宋体"/>
          <w:color w:val="000000"/>
          <w:sz w:val="21"/>
          <w:szCs w:val="21"/>
          <w:highlight w:val="none"/>
        </w:rPr>
        <w:t>Pb</w:t>
      </w:r>
      <w:r>
        <w:rPr>
          <w:rFonts w:ascii="宋体" w:hAnsi="宋体" w:eastAsia="宋体"/>
          <w:color w:val="000000"/>
          <w:sz w:val="21"/>
          <w:szCs w:val="21"/>
          <w:highlight w:val="none"/>
          <w:vertAlign w:val="subscript"/>
        </w:rPr>
        <w:t>83</w:t>
      </w:r>
      <w:r>
        <w:rPr>
          <w:rFonts w:ascii="宋体" w:hAnsi="宋体" w:eastAsia="宋体"/>
          <w:color w:val="000000"/>
          <w:sz w:val="21"/>
          <w:szCs w:val="21"/>
          <w:highlight w:val="none"/>
        </w:rPr>
        <w:t>合金制备工艺研究报告》最终版、工艺方案全套文件及相关图纸资料；</w:t>
      </w:r>
    </w:p>
    <w:p w14:paraId="4C515BAD">
      <w:pPr>
        <w:pStyle w:val="2"/>
        <w:numPr>
          <w:ilvl w:val="0"/>
          <w:numId w:val="7"/>
        </w:numPr>
        <w:tabs>
          <w:tab w:val="left" w:pos="567"/>
          <w:tab w:val="clear" w:pos="720"/>
        </w:tabs>
        <w:spacing w:after="160" w:line="360" w:lineRule="auto"/>
        <w:ind w:left="142" w:firstLine="424" w:firstLineChars="202"/>
        <w:rPr>
          <w:rFonts w:ascii="宋体" w:hAnsi="宋体" w:eastAsia="宋体"/>
          <w:color w:val="000000"/>
          <w:sz w:val="21"/>
          <w:szCs w:val="21"/>
          <w:highlight w:val="none"/>
        </w:rPr>
      </w:pPr>
      <w:r>
        <w:rPr>
          <w:rFonts w:ascii="宋体" w:hAnsi="宋体" w:eastAsia="宋体"/>
          <w:color w:val="000000"/>
          <w:sz w:val="21"/>
          <w:szCs w:val="21"/>
          <w:highlight w:val="none"/>
        </w:rPr>
        <w:t>实物样品检测：甲乙双方共同委托具有资质的第三方检测机构，对交付的Li</w:t>
      </w:r>
      <w:r>
        <w:rPr>
          <w:rFonts w:ascii="宋体" w:hAnsi="宋体" w:eastAsia="宋体"/>
          <w:color w:val="000000"/>
          <w:sz w:val="21"/>
          <w:szCs w:val="21"/>
          <w:highlight w:val="none"/>
          <w:vertAlign w:val="subscript"/>
        </w:rPr>
        <w:t>17</w:t>
      </w:r>
      <w:r>
        <w:rPr>
          <w:rFonts w:ascii="宋体" w:hAnsi="宋体" w:eastAsia="宋体"/>
          <w:color w:val="000000"/>
          <w:sz w:val="21"/>
          <w:szCs w:val="21"/>
          <w:highlight w:val="none"/>
        </w:rPr>
        <w:t>Pb</w:t>
      </w:r>
      <w:r>
        <w:rPr>
          <w:rFonts w:ascii="宋体" w:hAnsi="宋体" w:eastAsia="宋体"/>
          <w:color w:val="000000"/>
          <w:sz w:val="21"/>
          <w:szCs w:val="21"/>
          <w:highlight w:val="none"/>
          <w:vertAlign w:val="subscript"/>
        </w:rPr>
        <w:t>83</w:t>
      </w:r>
      <w:r>
        <w:rPr>
          <w:rFonts w:ascii="宋体" w:hAnsi="宋体" w:eastAsia="宋体"/>
          <w:color w:val="000000"/>
          <w:sz w:val="21"/>
          <w:szCs w:val="21"/>
          <w:highlight w:val="none"/>
        </w:rPr>
        <w:t>合金样品进行取样分析；</w:t>
      </w:r>
    </w:p>
    <w:p w14:paraId="6C8E1E8F">
      <w:pPr>
        <w:pStyle w:val="2"/>
        <w:numPr>
          <w:ilvl w:val="0"/>
          <w:numId w:val="7"/>
        </w:numPr>
        <w:tabs>
          <w:tab w:val="left" w:pos="567"/>
          <w:tab w:val="clear" w:pos="720"/>
        </w:tabs>
        <w:spacing w:after="160" w:line="360" w:lineRule="auto"/>
        <w:ind w:left="142" w:firstLine="424" w:firstLineChars="202"/>
        <w:rPr>
          <w:rFonts w:ascii="宋体" w:hAnsi="宋体" w:eastAsia="宋体"/>
          <w:color w:val="000000"/>
          <w:sz w:val="21"/>
          <w:szCs w:val="21"/>
          <w:highlight w:val="none"/>
        </w:rPr>
      </w:pPr>
      <w:r>
        <w:rPr>
          <w:rFonts w:ascii="宋体" w:hAnsi="宋体" w:eastAsia="宋体"/>
          <w:color w:val="000000"/>
          <w:sz w:val="21"/>
          <w:szCs w:val="21"/>
          <w:highlight w:val="none"/>
        </w:rPr>
        <w:t>关键指标测试：依据技术规格书要求，重点开展锂含量测试（目标值：17at%±0.8at%）、杂质总量测试（目标值：≤600ppm）以及成分均匀性分析（采用SEM-EDS、ICP-OES/MS等方法）；</w:t>
      </w:r>
    </w:p>
    <w:p w14:paraId="53E6996C">
      <w:pPr>
        <w:pStyle w:val="2"/>
        <w:numPr>
          <w:ilvl w:val="0"/>
          <w:numId w:val="7"/>
        </w:numPr>
        <w:tabs>
          <w:tab w:val="left" w:pos="567"/>
          <w:tab w:val="clear" w:pos="720"/>
        </w:tabs>
        <w:spacing w:after="160" w:line="360" w:lineRule="auto"/>
        <w:ind w:left="142" w:firstLine="424" w:firstLineChars="202"/>
        <w:rPr>
          <w:rFonts w:ascii="宋体" w:hAnsi="宋体" w:eastAsia="宋体"/>
          <w:color w:val="000000"/>
          <w:sz w:val="21"/>
          <w:szCs w:val="21"/>
          <w:highlight w:val="none"/>
        </w:rPr>
      </w:pPr>
      <w:r>
        <w:rPr>
          <w:rFonts w:ascii="宋体" w:hAnsi="宋体" w:eastAsia="宋体"/>
          <w:color w:val="000000"/>
          <w:sz w:val="21"/>
          <w:szCs w:val="21"/>
          <w:highlight w:val="none"/>
        </w:rPr>
        <w:t>综合评审：甲方组织专家对研究报告进行最终评审，结合第三方检测机构出具的检测报告，确认样品性能指标是否达标。若各项指标合格且资料齐全，双方签署最终验收报告。</w:t>
      </w:r>
    </w:p>
    <w:p w14:paraId="5E003A5C">
      <w:r>
        <w:rPr>
          <w:rFonts w:hint="eastAsia" w:ascii="宋体" w:hAnsi="宋体" w:eastAsia="宋体"/>
          <w:color w:val="000000"/>
          <w:sz w:val="21"/>
          <w:szCs w:val="21"/>
          <w:highlight w:val="none"/>
        </w:rPr>
        <w:t xml:space="preserve">2.5.5 </w:t>
      </w:r>
      <w:r>
        <w:rPr>
          <w:rFonts w:ascii="宋体" w:hAnsi="宋体" w:eastAsia="宋体"/>
          <w:color w:val="000000"/>
          <w:sz w:val="21"/>
          <w:szCs w:val="21"/>
          <w:highlight w:val="none"/>
        </w:rPr>
        <w:t>未尽事宜，双方协商确定。</w:t>
      </w:r>
      <w:bookmarkEnd w:id="0"/>
      <w:bookmarkEnd w:id="1"/>
      <w:bookmarkEnd w:id="2"/>
      <w:bookmarkEnd w:id="3"/>
      <w:bookmarkEnd w:id="4"/>
      <w:bookmarkEnd w:id="5"/>
      <w:bookmarkStart w:id="6" w:name="_GoBack"/>
      <w:bookmarkEnd w:id="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E543F1"/>
    <w:multiLevelType w:val="multilevel"/>
    <w:tmpl w:val="2EE543F1"/>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01967D1"/>
    <w:multiLevelType w:val="multilevel"/>
    <w:tmpl w:val="301967D1"/>
    <w:lvl w:ilvl="0" w:tentative="0">
      <w:start w:val="1"/>
      <w:numFmt w:val="decimal"/>
      <w:lvlText w:val="（%1）"/>
      <w:lvlJc w:val="left"/>
      <w:pPr>
        <w:tabs>
          <w:tab w:val="left" w:pos="720"/>
        </w:tabs>
        <w:ind w:left="720" w:hanging="360"/>
      </w:pPr>
      <w:rPr>
        <w:rFonts w:hint="eastAsia"/>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51E777A"/>
    <w:multiLevelType w:val="multilevel"/>
    <w:tmpl w:val="351E777A"/>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3A934B9D"/>
    <w:multiLevelType w:val="multilevel"/>
    <w:tmpl w:val="3A934B9D"/>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8535045"/>
    <w:multiLevelType w:val="multilevel"/>
    <w:tmpl w:val="48535045"/>
    <w:lvl w:ilvl="0" w:tentative="0">
      <w:start w:val="1"/>
      <w:numFmt w:val="lowerLetter"/>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55B951DC"/>
    <w:multiLevelType w:val="multilevel"/>
    <w:tmpl w:val="55B951DC"/>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5B4817E8"/>
    <w:multiLevelType w:val="multilevel"/>
    <w:tmpl w:val="5B4817E8"/>
    <w:lvl w:ilvl="0" w:tentative="0">
      <w:start w:val="1"/>
      <w:numFmt w:val="lowerLetter"/>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1"/>
  </w:num>
  <w:num w:numId="2">
    <w:abstractNumId w:val="2"/>
  </w:num>
  <w:num w:numId="3">
    <w:abstractNumId w:val="3"/>
  </w:num>
  <w:num w:numId="4">
    <w:abstractNumId w:val="5"/>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271A3A"/>
    <w:rsid w:val="5E271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beforeLines="0" w:after="330" w:afterLines="0" w:line="578" w:lineRule="auto"/>
      <w:outlineLvl w:val="0"/>
    </w:pPr>
    <w:rPr>
      <w:b/>
      <w:bCs/>
      <w:kern w:val="44"/>
      <w:sz w:val="44"/>
      <w:szCs w:val="44"/>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iPriority w:val="0"/>
    <w:rPr>
      <w:rFonts w:eastAsia="黑体"/>
      <w:sz w:val="36"/>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2026-09-24T06:57:00Z</dcterms:created>
  <dc:creator>宋方方</dc:creator>
  <cp:lastModifiedBy>宋方方</cp:lastModifiedBy>
  <dcterms:modified xsi:type="dcterms:W3CDTF">2026-09-24T06:58:11Z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EF3FDD7D1B784DB0AB2DC94C04E69A81_11</vt:lpwstr>
  </property>
  <property fmtid="{D5CDD505-2E9C-101B-9397-08002B2CF9AE}" pid="4" name="KSOTemplateDocerSaveRecord">
    <vt:lpwstr>eyJoZGlkIjoiY2ZjZDI4YmRkZDY3MGZmNjNjY2JiZTFlYmI4OWM0ZWEiLCJ1c2VySWQiOiIxNzYzODEyODI4In0=</vt:lpwstr>
  </property>
</Properties>
</file>