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A0D3B">
      <w:pPr>
        <w:pStyle w:val="2"/>
        <w:widowControl/>
        <w:snapToGrid w:val="0"/>
        <w:spacing w:before="0" w:after="0"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采购需求及技术规格要求</w:t>
      </w:r>
    </w:p>
    <w:p w14:paraId="2B8ECFFA">
      <w:pPr>
        <w:adjustRightInd w:val="0"/>
        <w:snapToGrid w:val="0"/>
        <w:spacing w:before="120" w:beforeLines="50" w:line="360" w:lineRule="auto"/>
        <w:outlineLvl w:val="1"/>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w:t>
      </w:r>
      <w:r>
        <w:rPr>
          <w:rFonts w:hint="eastAsia"/>
          <w:b/>
          <w:color w:val="000000" w:themeColor="text1"/>
          <w:sz w:val="24"/>
          <w:highlight w:val="none"/>
          <w14:textFill>
            <w14:solidFill>
              <w14:schemeClr w14:val="tx1"/>
            </w14:solidFill>
          </w14:textFill>
        </w:rPr>
        <w:t>、</w:t>
      </w:r>
      <w:r>
        <w:rPr>
          <w:b/>
          <w:color w:val="000000" w:themeColor="text1"/>
          <w:sz w:val="24"/>
          <w:highlight w:val="none"/>
          <w14:textFill>
            <w14:solidFill>
              <w14:schemeClr w14:val="tx1"/>
            </w14:solidFill>
          </w14:textFill>
        </w:rPr>
        <w:t>货物需求一览表</w:t>
      </w:r>
    </w:p>
    <w:p w14:paraId="7750CBD5">
      <w:pPr>
        <w:widowControl/>
        <w:spacing w:line="360" w:lineRule="auto"/>
        <w:ind w:firstLine="420" w:firstLineChars="20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BEST TF线圈（17套）绝缘材料及器件采购数量</w:t>
      </w:r>
    </w:p>
    <w:tbl>
      <w:tblPr>
        <w:tblStyle w:val="3"/>
        <w:tblW w:w="8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2795"/>
        <w:gridCol w:w="1209"/>
        <w:gridCol w:w="1158"/>
        <w:gridCol w:w="1158"/>
        <w:gridCol w:w="1710"/>
      </w:tblGrid>
      <w:tr w14:paraId="41CF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noWrap w:val="0"/>
            <w:vAlign w:val="center"/>
          </w:tcPr>
          <w:p w14:paraId="18E3D8F5">
            <w:pPr>
              <w:adjustRightInd w:val="0"/>
              <w:snapToGrid w:val="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序号</w:t>
            </w:r>
          </w:p>
        </w:tc>
        <w:tc>
          <w:tcPr>
            <w:tcW w:w="2795" w:type="dxa"/>
            <w:noWrap w:val="0"/>
            <w:vAlign w:val="center"/>
          </w:tcPr>
          <w:p w14:paraId="4DB7AAAB">
            <w:pPr>
              <w:adjustRightInd w:val="0"/>
              <w:snapToGrid w:val="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货物名称</w:t>
            </w:r>
          </w:p>
        </w:tc>
        <w:tc>
          <w:tcPr>
            <w:tcW w:w="1209" w:type="dxa"/>
            <w:noWrap w:val="0"/>
            <w:vAlign w:val="center"/>
          </w:tcPr>
          <w:p w14:paraId="2589061D">
            <w:pPr>
              <w:adjustRightInd w:val="0"/>
              <w:snapToGrid w:val="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单个线圈数量</w:t>
            </w:r>
          </w:p>
        </w:tc>
        <w:tc>
          <w:tcPr>
            <w:tcW w:w="1158" w:type="dxa"/>
            <w:noWrap w:val="0"/>
            <w:vAlign w:val="center"/>
          </w:tcPr>
          <w:p w14:paraId="429635A0">
            <w:pPr>
              <w:adjustRightInd w:val="0"/>
              <w:snapToGrid w:val="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总数量</w:t>
            </w:r>
          </w:p>
        </w:tc>
        <w:tc>
          <w:tcPr>
            <w:tcW w:w="1158" w:type="dxa"/>
            <w:noWrap w:val="0"/>
            <w:vAlign w:val="center"/>
          </w:tcPr>
          <w:p w14:paraId="686760BB">
            <w:pPr>
              <w:adjustRightInd w:val="0"/>
              <w:snapToGrid w:val="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w:t>
            </w:r>
          </w:p>
        </w:tc>
        <w:tc>
          <w:tcPr>
            <w:tcW w:w="1710" w:type="dxa"/>
            <w:noWrap w:val="0"/>
            <w:vAlign w:val="center"/>
          </w:tcPr>
          <w:p w14:paraId="7C9E6E69">
            <w:pPr>
              <w:adjustRightInd w:val="0"/>
              <w:snapToGrid w:val="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交货期</w:t>
            </w:r>
          </w:p>
        </w:tc>
      </w:tr>
      <w:tr w14:paraId="0E949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664" w:type="dxa"/>
            <w:noWrap w:val="0"/>
            <w:vAlign w:val="center"/>
          </w:tcPr>
          <w:p w14:paraId="72C30A17">
            <w:pPr>
              <w:adjustRightInd w:val="0"/>
              <w:snapToGrid w:val="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p>
        </w:tc>
        <w:tc>
          <w:tcPr>
            <w:tcW w:w="2795" w:type="dxa"/>
            <w:noWrap w:val="0"/>
            <w:vAlign w:val="center"/>
          </w:tcPr>
          <w:p w14:paraId="111F347B">
            <w:pPr>
              <w:widowControl/>
              <w:jc w:val="left"/>
              <w:rPr>
                <w:rFonts w:ascii="宋体" w:hAnsi="宋体"/>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TF </w:t>
            </w:r>
            <w:r>
              <w:rPr>
                <w:rFonts w:ascii="宋体" w:hAnsi="宋体" w:cs="宋体"/>
                <w:color w:val="000000" w:themeColor="text1"/>
                <w:kern w:val="0"/>
                <w:sz w:val="24"/>
                <w:highlight w:val="none"/>
                <w:lang w:bidi="ar"/>
                <w14:textFill>
                  <w14:solidFill>
                    <w14:schemeClr w14:val="tx1"/>
                  </w14:solidFill>
                </w14:textFill>
              </w:rPr>
              <w:t xml:space="preserve">用轴向绝缘子 </w:t>
            </w:r>
          </w:p>
        </w:tc>
        <w:tc>
          <w:tcPr>
            <w:tcW w:w="1209" w:type="dxa"/>
            <w:noWrap w:val="0"/>
            <w:vAlign w:val="center"/>
          </w:tcPr>
          <w:p w14:paraId="4D6E8434">
            <w:pPr>
              <w:widowControl/>
              <w:jc w:val="center"/>
              <w:rPr>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28</w:t>
            </w:r>
          </w:p>
        </w:tc>
        <w:tc>
          <w:tcPr>
            <w:tcW w:w="1158" w:type="dxa"/>
            <w:noWrap w:val="0"/>
            <w:vAlign w:val="center"/>
          </w:tcPr>
          <w:p w14:paraId="5C77C655">
            <w:pPr>
              <w:widowControl/>
              <w:jc w:val="center"/>
              <w:rPr>
                <w:rFonts w:hint="eastAsia" w:ascii="宋体" w:hAnsi="宋体"/>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476</w:t>
            </w:r>
          </w:p>
        </w:tc>
        <w:tc>
          <w:tcPr>
            <w:tcW w:w="1158" w:type="dxa"/>
            <w:noWrap w:val="0"/>
            <w:vAlign w:val="center"/>
          </w:tcPr>
          <w:p w14:paraId="75955350">
            <w:pPr>
              <w:widowControl/>
              <w:jc w:val="center"/>
              <w:rPr>
                <w:rFonts w:hint="eastAsia"/>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件</w:t>
            </w:r>
          </w:p>
        </w:tc>
        <w:tc>
          <w:tcPr>
            <w:tcW w:w="1710" w:type="dxa"/>
            <w:vMerge w:val="restart"/>
            <w:noWrap w:val="0"/>
            <w:vAlign w:val="center"/>
          </w:tcPr>
          <w:p w14:paraId="0FB6A2C7">
            <w:pPr>
              <w:adjustRightInd w:val="0"/>
              <w:snapToGrid w:val="0"/>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详见投标人须知前附表</w:t>
            </w:r>
          </w:p>
        </w:tc>
      </w:tr>
      <w:tr w14:paraId="4406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664" w:type="dxa"/>
            <w:noWrap w:val="0"/>
            <w:vAlign w:val="center"/>
          </w:tcPr>
          <w:p w14:paraId="0EB19310">
            <w:pPr>
              <w:adjustRightInd w:val="0"/>
              <w:snapToGrid w:val="0"/>
              <w:jc w:val="center"/>
              <w:rPr>
                <w:rFonts w:hint="eastAsia" w:ascii="宋体" w:hAnsi="宋体"/>
                <w:color w:val="000000" w:themeColor="text1"/>
                <w:sz w:val="24"/>
                <w:highlight w:val="none"/>
                <w14:textFill>
                  <w14:solidFill>
                    <w14:schemeClr w14:val="tx1"/>
                  </w14:solidFill>
                </w14:textFill>
              </w:rPr>
            </w:pPr>
            <w:bookmarkStart w:id="0" w:name="_Toc30409514"/>
            <w:bookmarkStart w:id="1" w:name="_Toc532807472"/>
            <w:bookmarkStart w:id="2" w:name="_Toc12010815"/>
            <w:bookmarkStart w:id="3" w:name="_Toc257021215"/>
            <w:bookmarkStart w:id="4" w:name="_Toc509153917"/>
            <w:bookmarkStart w:id="5" w:name="_Toc12010788"/>
            <w:r>
              <w:rPr>
                <w:rFonts w:hint="eastAsia" w:ascii="宋体" w:hAnsi="宋体"/>
                <w:color w:val="000000" w:themeColor="text1"/>
                <w:sz w:val="24"/>
                <w:highlight w:val="none"/>
                <w14:textFill>
                  <w14:solidFill>
                    <w14:schemeClr w14:val="tx1"/>
                  </w14:solidFill>
                </w14:textFill>
              </w:rPr>
              <w:t>2</w:t>
            </w:r>
          </w:p>
        </w:tc>
        <w:tc>
          <w:tcPr>
            <w:tcW w:w="2795" w:type="dxa"/>
            <w:noWrap w:val="0"/>
            <w:vAlign w:val="center"/>
          </w:tcPr>
          <w:p w14:paraId="6F3A46C2">
            <w:pPr>
              <w:widowControl/>
              <w:jc w:val="left"/>
              <w:rPr>
                <w:rFonts w:ascii="宋体" w:hAnsi="宋体"/>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TF </w:t>
            </w:r>
            <w:r>
              <w:rPr>
                <w:rFonts w:ascii="宋体" w:hAnsi="宋体" w:cs="宋体"/>
                <w:color w:val="000000" w:themeColor="text1"/>
                <w:kern w:val="0"/>
                <w:sz w:val="24"/>
                <w:highlight w:val="none"/>
                <w:lang w:bidi="ar"/>
                <w14:textFill>
                  <w14:solidFill>
                    <w14:schemeClr w14:val="tx1"/>
                  </w14:solidFill>
                </w14:textFill>
              </w:rPr>
              <w:t xml:space="preserve">用 </w:t>
            </w:r>
            <w:r>
              <w:rPr>
                <w:color w:val="000000" w:themeColor="text1"/>
                <w:kern w:val="0"/>
                <w:sz w:val="24"/>
                <w:highlight w:val="none"/>
                <w:lang w:bidi="ar"/>
                <w14:textFill>
                  <w14:solidFill>
                    <w14:schemeClr w14:val="tx1"/>
                  </w14:solidFill>
                </w14:textFill>
              </w:rPr>
              <w:t xml:space="preserve">Tail Strap </w:t>
            </w:r>
            <w:r>
              <w:rPr>
                <w:rFonts w:ascii="宋体" w:hAnsi="宋体" w:cs="宋体"/>
                <w:color w:val="000000" w:themeColor="text1"/>
                <w:kern w:val="0"/>
                <w:sz w:val="24"/>
                <w:highlight w:val="none"/>
                <w:lang w:bidi="ar"/>
                <w14:textFill>
                  <w14:solidFill>
                    <w14:schemeClr w14:val="tx1"/>
                  </w14:solidFill>
                </w14:textFill>
              </w:rPr>
              <w:t xml:space="preserve">结构件 </w:t>
            </w:r>
          </w:p>
        </w:tc>
        <w:tc>
          <w:tcPr>
            <w:tcW w:w="1209" w:type="dxa"/>
            <w:noWrap w:val="0"/>
            <w:vAlign w:val="center"/>
          </w:tcPr>
          <w:p w14:paraId="3D135560">
            <w:pPr>
              <w:widowControl/>
              <w:jc w:val="center"/>
              <w:rPr>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8</w:t>
            </w:r>
          </w:p>
        </w:tc>
        <w:tc>
          <w:tcPr>
            <w:tcW w:w="1158" w:type="dxa"/>
            <w:noWrap w:val="0"/>
            <w:vAlign w:val="center"/>
          </w:tcPr>
          <w:p w14:paraId="2637E903">
            <w:pPr>
              <w:widowControl/>
              <w:jc w:val="center"/>
              <w:rPr>
                <w:rFonts w:hint="eastAsia" w:ascii="宋体" w:hAnsi="宋体"/>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136</w:t>
            </w:r>
          </w:p>
        </w:tc>
        <w:tc>
          <w:tcPr>
            <w:tcW w:w="1158" w:type="dxa"/>
            <w:noWrap w:val="0"/>
            <w:vAlign w:val="center"/>
          </w:tcPr>
          <w:p w14:paraId="74EBE618">
            <w:pPr>
              <w:widowControl/>
              <w:jc w:val="center"/>
              <w:rPr>
                <w:rFonts w:hint="eastAsia"/>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件</w:t>
            </w:r>
          </w:p>
        </w:tc>
        <w:tc>
          <w:tcPr>
            <w:tcW w:w="1710" w:type="dxa"/>
            <w:vMerge w:val="continue"/>
            <w:noWrap w:val="0"/>
            <w:vAlign w:val="center"/>
          </w:tcPr>
          <w:p w14:paraId="690214BA">
            <w:pPr>
              <w:adjustRightInd w:val="0"/>
              <w:snapToGrid w:val="0"/>
              <w:jc w:val="center"/>
              <w:rPr>
                <w:rFonts w:ascii="宋体" w:hAnsi="宋体"/>
                <w:color w:val="000000" w:themeColor="text1"/>
                <w:sz w:val="24"/>
                <w:highlight w:val="none"/>
                <w14:textFill>
                  <w14:solidFill>
                    <w14:schemeClr w14:val="tx1"/>
                  </w14:solidFill>
                </w14:textFill>
              </w:rPr>
            </w:pPr>
          </w:p>
        </w:tc>
      </w:tr>
      <w:tr w14:paraId="4493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664" w:type="dxa"/>
            <w:noWrap w:val="0"/>
            <w:vAlign w:val="center"/>
          </w:tcPr>
          <w:p w14:paraId="16092510">
            <w:pPr>
              <w:adjustRightInd w:val="0"/>
              <w:snapToGrid w:val="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p>
        </w:tc>
        <w:tc>
          <w:tcPr>
            <w:tcW w:w="2795" w:type="dxa"/>
            <w:noWrap w:val="0"/>
            <w:vAlign w:val="center"/>
          </w:tcPr>
          <w:p w14:paraId="0B41CBF3">
            <w:pPr>
              <w:widowControl/>
              <w:jc w:val="left"/>
              <w:rPr>
                <w:rFonts w:ascii="宋体" w:hAnsi="宋体"/>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TF </w:t>
            </w:r>
            <w:r>
              <w:rPr>
                <w:rFonts w:ascii="宋体" w:hAnsi="宋体" w:cs="宋体"/>
                <w:color w:val="000000" w:themeColor="text1"/>
                <w:kern w:val="0"/>
                <w:sz w:val="24"/>
                <w:highlight w:val="none"/>
                <w:lang w:bidi="ar"/>
                <w14:textFill>
                  <w14:solidFill>
                    <w14:schemeClr w14:val="tx1"/>
                  </w14:solidFill>
                </w14:textFill>
              </w:rPr>
              <w:t xml:space="preserve">用诊断测量线转接器 </w:t>
            </w:r>
          </w:p>
        </w:tc>
        <w:tc>
          <w:tcPr>
            <w:tcW w:w="1209" w:type="dxa"/>
            <w:noWrap w:val="0"/>
            <w:vAlign w:val="center"/>
          </w:tcPr>
          <w:p w14:paraId="12C8DB5A">
            <w:pPr>
              <w:widowControl/>
              <w:jc w:val="center"/>
              <w:rPr>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24</w:t>
            </w:r>
          </w:p>
        </w:tc>
        <w:tc>
          <w:tcPr>
            <w:tcW w:w="1158" w:type="dxa"/>
            <w:noWrap w:val="0"/>
            <w:vAlign w:val="center"/>
          </w:tcPr>
          <w:p w14:paraId="714F2B26">
            <w:pPr>
              <w:widowControl/>
              <w:jc w:val="center"/>
              <w:rPr>
                <w:rFonts w:hint="eastAsia" w:ascii="宋体" w:hAnsi="宋体"/>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408</w:t>
            </w:r>
          </w:p>
        </w:tc>
        <w:tc>
          <w:tcPr>
            <w:tcW w:w="1158" w:type="dxa"/>
            <w:noWrap w:val="0"/>
            <w:vAlign w:val="center"/>
          </w:tcPr>
          <w:p w14:paraId="2C2720D4">
            <w:pPr>
              <w:widowControl/>
              <w:jc w:val="center"/>
              <w:rPr>
                <w:rFonts w:hint="eastAsia"/>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件</w:t>
            </w:r>
          </w:p>
        </w:tc>
        <w:tc>
          <w:tcPr>
            <w:tcW w:w="1710" w:type="dxa"/>
            <w:vMerge w:val="continue"/>
            <w:noWrap w:val="0"/>
            <w:vAlign w:val="center"/>
          </w:tcPr>
          <w:p w14:paraId="0FE56C7D">
            <w:pPr>
              <w:adjustRightInd w:val="0"/>
              <w:snapToGrid w:val="0"/>
              <w:jc w:val="center"/>
              <w:rPr>
                <w:rFonts w:ascii="宋体" w:hAnsi="宋体"/>
                <w:color w:val="000000" w:themeColor="text1"/>
                <w:sz w:val="24"/>
                <w:highlight w:val="none"/>
                <w14:textFill>
                  <w14:solidFill>
                    <w14:schemeClr w14:val="tx1"/>
                  </w14:solidFill>
                </w14:textFill>
              </w:rPr>
            </w:pPr>
          </w:p>
        </w:tc>
      </w:tr>
      <w:tr w14:paraId="693DE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664" w:type="dxa"/>
            <w:noWrap w:val="0"/>
            <w:vAlign w:val="center"/>
          </w:tcPr>
          <w:p w14:paraId="39D70F03">
            <w:pPr>
              <w:adjustRightInd w:val="0"/>
              <w:snapToGrid w:val="0"/>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w:t>
            </w:r>
          </w:p>
        </w:tc>
        <w:tc>
          <w:tcPr>
            <w:tcW w:w="2795" w:type="dxa"/>
            <w:noWrap w:val="0"/>
            <w:vAlign w:val="center"/>
          </w:tcPr>
          <w:p w14:paraId="47860FCB">
            <w:pPr>
              <w:widowControl/>
              <w:jc w:val="left"/>
              <w:rPr>
                <w:rFonts w:ascii="宋体" w:hAnsi="宋体"/>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TF </w:t>
            </w:r>
            <w:r>
              <w:rPr>
                <w:rFonts w:ascii="宋体" w:hAnsi="宋体" w:cs="宋体"/>
                <w:color w:val="000000" w:themeColor="text1"/>
                <w:kern w:val="0"/>
                <w:sz w:val="24"/>
                <w:highlight w:val="none"/>
                <w:lang w:bidi="ar"/>
                <w14:textFill>
                  <w14:solidFill>
                    <w14:schemeClr w14:val="tx1"/>
                  </w14:solidFill>
                </w14:textFill>
              </w:rPr>
              <w:t xml:space="preserve">用湿包绕树脂 </w:t>
            </w:r>
          </w:p>
        </w:tc>
        <w:tc>
          <w:tcPr>
            <w:tcW w:w="1209" w:type="dxa"/>
            <w:noWrap w:val="0"/>
            <w:vAlign w:val="center"/>
          </w:tcPr>
          <w:p w14:paraId="0B69EC00">
            <w:pPr>
              <w:widowControl/>
              <w:jc w:val="center"/>
              <w:rPr>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100</w:t>
            </w:r>
          </w:p>
        </w:tc>
        <w:tc>
          <w:tcPr>
            <w:tcW w:w="1158" w:type="dxa"/>
            <w:noWrap w:val="0"/>
            <w:vAlign w:val="center"/>
          </w:tcPr>
          <w:p w14:paraId="0263767C">
            <w:pPr>
              <w:widowControl/>
              <w:jc w:val="center"/>
              <w:rPr>
                <w:rFonts w:hint="eastAsia" w:ascii="宋体" w:hAnsi="宋体"/>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1</w:t>
            </w:r>
            <w:r>
              <w:rPr>
                <w:rFonts w:hint="eastAsia"/>
                <w:color w:val="000000" w:themeColor="text1"/>
                <w:kern w:val="0"/>
                <w:sz w:val="24"/>
                <w:highlight w:val="none"/>
                <w:lang w:bidi="ar"/>
                <w14:textFill>
                  <w14:solidFill>
                    <w14:schemeClr w14:val="tx1"/>
                  </w14:solidFill>
                </w14:textFill>
              </w:rPr>
              <w:t>700</w:t>
            </w:r>
          </w:p>
        </w:tc>
        <w:tc>
          <w:tcPr>
            <w:tcW w:w="1158" w:type="dxa"/>
            <w:noWrap w:val="0"/>
            <w:vAlign w:val="center"/>
          </w:tcPr>
          <w:p w14:paraId="4E36BE64">
            <w:pPr>
              <w:widowControl/>
              <w:jc w:val="center"/>
              <w:rPr>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kg</w:t>
            </w:r>
          </w:p>
        </w:tc>
        <w:tc>
          <w:tcPr>
            <w:tcW w:w="1710" w:type="dxa"/>
            <w:vMerge w:val="continue"/>
            <w:noWrap w:val="0"/>
            <w:vAlign w:val="center"/>
          </w:tcPr>
          <w:p w14:paraId="3860C317">
            <w:pPr>
              <w:adjustRightInd w:val="0"/>
              <w:snapToGrid w:val="0"/>
              <w:jc w:val="center"/>
              <w:rPr>
                <w:rFonts w:ascii="宋体" w:hAnsi="宋体"/>
                <w:color w:val="000000" w:themeColor="text1"/>
                <w:sz w:val="24"/>
                <w:highlight w:val="none"/>
                <w14:textFill>
                  <w14:solidFill>
                    <w14:schemeClr w14:val="tx1"/>
                  </w14:solidFill>
                </w14:textFill>
              </w:rPr>
            </w:pPr>
          </w:p>
        </w:tc>
      </w:tr>
    </w:tbl>
    <w:p w14:paraId="7255A212">
      <w:pPr>
        <w:adjustRightInd w:val="0"/>
        <w:snapToGrid w:val="0"/>
        <w:spacing w:line="360" w:lineRule="auto"/>
        <w:ind w:firstLine="482" w:firstLineChars="200"/>
        <w:rPr>
          <w:b/>
          <w:color w:val="000000" w:themeColor="text1"/>
          <w:sz w:val="24"/>
          <w:highlight w:val="none"/>
          <w14:textFill>
            <w14:solidFill>
              <w14:schemeClr w14:val="tx1"/>
            </w14:solidFill>
          </w14:textFill>
        </w:rPr>
      </w:pPr>
    </w:p>
    <w:p w14:paraId="6871BBC8">
      <w:pPr>
        <w:adjustRightInd w:val="0"/>
        <w:snapToGrid w:val="0"/>
        <w:spacing w:line="360" w:lineRule="auto"/>
        <w:rPr>
          <w:bCs/>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注：</w:t>
      </w:r>
      <w:r>
        <w:rPr>
          <w:rFonts w:hint="eastAsia"/>
          <w:bCs/>
          <w:color w:val="000000" w:themeColor="text1"/>
          <w:sz w:val="24"/>
          <w:highlight w:val="none"/>
          <w14:textFill>
            <w14:solidFill>
              <w14:schemeClr w14:val="tx1"/>
            </w14:solidFill>
          </w14:textFill>
        </w:rPr>
        <w:t>以上数量为暂估数量，如最终实际供货数量低于上述数量，则据实结算。</w:t>
      </w:r>
    </w:p>
    <w:p w14:paraId="08D71973">
      <w:pPr>
        <w:adjustRightInd w:val="0"/>
        <w:snapToGrid w:val="0"/>
        <w:spacing w:line="360" w:lineRule="auto"/>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如果最终实际供货数量大于上述数量但不超过合同总价的10%，则以合同总价结算，不额外增加费用。</w:t>
      </w:r>
    </w:p>
    <w:p w14:paraId="4A847022">
      <w:pPr>
        <w:adjustRightInd w:val="0"/>
        <w:snapToGrid w:val="0"/>
        <w:spacing w:line="360" w:lineRule="auto"/>
        <w:rPr>
          <w:rFonts w:hint="eastAsia"/>
          <w:b/>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如果最终实际供货数量大于上述数量且超过合同总价的10%，则双方根据实际增量，另行签订合同。</w:t>
      </w:r>
    </w:p>
    <w:p w14:paraId="2A7E26D5">
      <w:pPr>
        <w:adjustRightInd w:val="0"/>
        <w:snapToGrid w:val="0"/>
        <w:spacing w:before="120" w:beforeLines="50" w:line="360" w:lineRule="auto"/>
        <w:outlineLvl w:val="1"/>
        <w:rPr>
          <w:rFonts w:hint="eastAsia"/>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w:t>
      </w:r>
      <w:r>
        <w:rPr>
          <w:rFonts w:hint="eastAsia"/>
          <w:b/>
          <w:color w:val="000000" w:themeColor="text1"/>
          <w:sz w:val="24"/>
          <w:highlight w:val="none"/>
          <w14:textFill>
            <w14:solidFill>
              <w14:schemeClr w14:val="tx1"/>
            </w14:solidFill>
          </w14:textFill>
        </w:rPr>
        <w:t>、</w:t>
      </w:r>
      <w:r>
        <w:rPr>
          <w:b/>
          <w:color w:val="000000" w:themeColor="text1"/>
          <w:sz w:val="24"/>
          <w:highlight w:val="none"/>
          <w14:textFill>
            <w14:solidFill>
              <w14:schemeClr w14:val="tx1"/>
            </w14:solidFill>
          </w14:textFill>
        </w:rPr>
        <w:t>工程技术要求</w:t>
      </w:r>
      <w:bookmarkEnd w:id="0"/>
      <w:bookmarkEnd w:id="1"/>
      <w:bookmarkEnd w:id="2"/>
      <w:bookmarkEnd w:id="3"/>
      <w:bookmarkEnd w:id="4"/>
      <w:bookmarkEnd w:id="5"/>
    </w:p>
    <w:p w14:paraId="41088039">
      <w:pPr>
        <w:adjustRightInd w:val="0"/>
        <w:snapToGrid w:val="0"/>
        <w:spacing w:before="120" w:beforeLines="50" w:line="360" w:lineRule="auto"/>
        <w:outlineLvl w:val="2"/>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w:t>
      </w:r>
      <w:r>
        <w:rPr>
          <w:rFonts w:hint="eastAsia"/>
          <w:b/>
          <w:color w:val="000000" w:themeColor="text1"/>
          <w:sz w:val="24"/>
          <w:highlight w:val="none"/>
          <w14:textFill>
            <w14:solidFill>
              <w14:schemeClr w14:val="tx1"/>
            </w14:solidFill>
          </w14:textFill>
        </w:rPr>
        <w:t>1、</w:t>
      </w:r>
      <w:r>
        <w:rPr>
          <w:b/>
          <w:color w:val="000000" w:themeColor="text1"/>
          <w:sz w:val="24"/>
          <w:highlight w:val="none"/>
          <w14:textFill>
            <w14:solidFill>
              <w14:schemeClr w14:val="tx1"/>
            </w14:solidFill>
          </w14:textFill>
        </w:rPr>
        <w:t>设备的主要用途及功能</w:t>
      </w:r>
    </w:p>
    <w:p w14:paraId="2C3C49D9">
      <w:pPr>
        <w:pStyle w:val="5"/>
        <w:wordWrap w:val="0"/>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BEST TF磁体系统共由16个D形线圈组成，产生的纵向磁场是用来约束等离子体垂直方向的运动。TF线圈高场绕组由高性能Nb3Sn导体绕制而成，低场绕组由ITER级Nb3Sn导体绕制而成。每个TF线圈由绕组、氦管、接头、终端箱、支撑结构、线圈盒、冷却系统等构成。</w:t>
      </w:r>
    </w:p>
    <w:p w14:paraId="7C3021F6">
      <w:pPr>
        <w:pStyle w:val="5"/>
        <w:wordWrap w:val="0"/>
        <w:spacing w:line="360" w:lineRule="auto"/>
        <w:ind w:firstLine="0" w:firstLineChars="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drawing>
          <wp:inline distT="0" distB="0" distL="114300" distR="114300">
            <wp:extent cx="3535045" cy="1466215"/>
            <wp:effectExtent l="9525" t="9525" r="21590" b="1778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3535045" cy="1466215"/>
                    </a:xfrm>
                    <a:prstGeom prst="rect">
                      <a:avLst/>
                    </a:prstGeom>
                    <a:noFill/>
                    <a:ln w="9525" cap="flat" cmpd="sng">
                      <a:solidFill>
                        <a:srgbClr val="A6A6A6"/>
                      </a:solidFill>
                      <a:prstDash val="solid"/>
                      <a:round/>
                      <a:headEnd type="none" w="med" len="med"/>
                      <a:tailEnd type="none" w="med" len="med"/>
                    </a:ln>
                  </pic:spPr>
                </pic:pic>
              </a:graphicData>
            </a:graphic>
          </wp:inline>
        </w:drawing>
      </w:r>
    </w:p>
    <w:p w14:paraId="1BA0B372">
      <w:pPr>
        <w:pStyle w:val="5"/>
        <w:wordWrap w:val="0"/>
        <w:spacing w:line="360" w:lineRule="auto"/>
        <w:ind w:firstLine="0" w:firstLineChars="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图1 TF磁体系统示意图</w:t>
      </w:r>
    </w:p>
    <w:p w14:paraId="006A412D">
      <w:pPr>
        <w:pStyle w:val="5"/>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本次采购物</w:t>
      </w:r>
      <w:r>
        <w:rPr>
          <w:rFonts w:hint="eastAsia"/>
          <w:color w:val="000000" w:themeColor="text1"/>
          <w:sz w:val="24"/>
          <w:highlight w:val="none"/>
          <w14:textFill>
            <w14:solidFill>
              <w14:schemeClr w14:val="tx1"/>
            </w14:solidFill>
          </w14:textFill>
        </w:rPr>
        <w:t>轴向绝缘子</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Tail Strap结构件、诊断测量线转接器及湿包绕树脂</w:t>
      </w:r>
      <w:r>
        <w:rPr>
          <w:color w:val="000000" w:themeColor="text1"/>
          <w:sz w:val="24"/>
          <w:highlight w:val="none"/>
          <w14:textFill>
            <w14:solidFill>
              <w14:schemeClr w14:val="tx1"/>
            </w14:solidFill>
          </w14:textFill>
        </w:rPr>
        <w:t>主要用于BEST项目TF磁体匝间绝缘、</w:t>
      </w:r>
      <w:r>
        <w:rPr>
          <w:rFonts w:hint="eastAsia"/>
          <w:color w:val="000000" w:themeColor="text1"/>
          <w:sz w:val="24"/>
          <w:highlight w:val="none"/>
          <w14:textFill>
            <w14:solidFill>
              <w14:schemeClr w14:val="tx1"/>
            </w14:solidFill>
          </w14:textFill>
        </w:rPr>
        <w:t>绕组绝缘制造及终端箱制造</w:t>
      </w:r>
      <w:r>
        <w:rPr>
          <w:color w:val="000000" w:themeColor="text1"/>
          <w:sz w:val="24"/>
          <w:highlight w:val="none"/>
          <w14:textFill>
            <w14:solidFill>
              <w14:schemeClr w14:val="tx1"/>
            </w14:solidFill>
          </w14:textFill>
        </w:rPr>
        <w:t>。</w:t>
      </w:r>
    </w:p>
    <w:p w14:paraId="2C4A5CA2">
      <w:pPr>
        <w:pStyle w:val="5"/>
        <w:spacing w:line="360" w:lineRule="auto"/>
        <w:ind w:firstLine="48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轴向绝缘子用于BEST TF超导磁体终端箱部位，与超导磁体氦冷却管道焊接连接，使低温流体能够继续流动、电路在此处对地断开、同时保持氦气密封。Tail Strap结构件用于超导磁体导体出线头位置通过Tail连接件与导体连接成整体，并通过Tail Strap结构件在tail连接处进行电绝缘隔断。诊断测量线转接器用于超导磁体失超诊断测量线从磁体线圈内部转接引出磁体线圈外部。湿包绕树脂用于终端箱部位氦管连接及其相关配件绝缘包绕使用。</w:t>
      </w:r>
    </w:p>
    <w:p w14:paraId="46D4D7AF">
      <w:pPr>
        <w:pStyle w:val="5"/>
        <w:spacing w:line="360" w:lineRule="auto"/>
        <w:ind w:firstLine="0" w:firstLineChars="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drawing>
          <wp:inline distT="0" distB="0" distL="114300" distR="114300">
            <wp:extent cx="5078730" cy="2794000"/>
            <wp:effectExtent l="0" t="0" r="11430" b="10160"/>
            <wp:docPr id="2" name="图片 2" descr="2f5d79a4e4328029181696a8421213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f5d79a4e4328029181696a84212135c"/>
                    <pic:cNvPicPr>
                      <a:picLocks noChangeAspect="1"/>
                    </pic:cNvPicPr>
                  </pic:nvPicPr>
                  <pic:blipFill>
                    <a:blip r:embed="rId5"/>
                    <a:stretch>
                      <a:fillRect/>
                    </a:stretch>
                  </pic:blipFill>
                  <pic:spPr>
                    <a:xfrm>
                      <a:off x="0" y="0"/>
                      <a:ext cx="5078730" cy="2794000"/>
                    </a:xfrm>
                    <a:prstGeom prst="rect">
                      <a:avLst/>
                    </a:prstGeom>
                    <a:noFill/>
                    <a:ln>
                      <a:noFill/>
                    </a:ln>
                  </pic:spPr>
                </pic:pic>
              </a:graphicData>
            </a:graphic>
          </wp:inline>
        </w:drawing>
      </w:r>
    </w:p>
    <w:p w14:paraId="6602A79C">
      <w:pPr>
        <w:pStyle w:val="5"/>
        <w:spacing w:line="360" w:lineRule="auto"/>
        <w:ind w:firstLine="0" w:firstLineChars="0"/>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终端箱轴向绝缘子示意图</w:t>
      </w:r>
    </w:p>
    <w:p w14:paraId="450B6715">
      <w:pPr>
        <w:pStyle w:val="5"/>
        <w:spacing w:line="360" w:lineRule="auto"/>
        <w:ind w:firstLine="0" w:firstLineChars="0"/>
        <w:jc w:val="center"/>
        <w:rPr>
          <w:rFonts w:hint="eastAsia"/>
          <w:color w:val="000000" w:themeColor="text1"/>
          <w:sz w:val="24"/>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665345" cy="2526665"/>
            <wp:effectExtent l="0" t="0" r="13335"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4665345" cy="2526665"/>
                    </a:xfrm>
                    <a:prstGeom prst="rect">
                      <a:avLst/>
                    </a:prstGeom>
                    <a:noFill/>
                    <a:ln>
                      <a:noFill/>
                    </a:ln>
                  </pic:spPr>
                </pic:pic>
              </a:graphicData>
            </a:graphic>
          </wp:inline>
        </w:drawing>
      </w:r>
    </w:p>
    <w:p w14:paraId="30612FDD">
      <w:pPr>
        <w:pStyle w:val="5"/>
        <w:spacing w:line="360" w:lineRule="auto"/>
        <w:ind w:firstLine="0" w:firstLineChars="0"/>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Tail Strap结构连接示意图</w:t>
      </w:r>
    </w:p>
    <w:p w14:paraId="4FF46090">
      <w:pPr>
        <w:pStyle w:val="5"/>
        <w:spacing w:line="360" w:lineRule="auto"/>
        <w:ind w:firstLine="0" w:firstLineChars="0"/>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drawing>
          <wp:inline distT="0" distB="0" distL="114300" distR="114300">
            <wp:extent cx="5492115" cy="2745740"/>
            <wp:effectExtent l="0" t="0" r="9525" b="12700"/>
            <wp:docPr id="1" name="图片 4" descr="a31833e5-b876-43b7-bae4-f2093dc5e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a31833e5-b876-43b7-bae4-f2093dc5e123"/>
                    <pic:cNvPicPr>
                      <a:picLocks noChangeAspect="1"/>
                    </pic:cNvPicPr>
                  </pic:nvPicPr>
                  <pic:blipFill>
                    <a:blip r:embed="rId7"/>
                    <a:stretch>
                      <a:fillRect/>
                    </a:stretch>
                  </pic:blipFill>
                  <pic:spPr>
                    <a:xfrm>
                      <a:off x="0" y="0"/>
                      <a:ext cx="5492115" cy="2745740"/>
                    </a:xfrm>
                    <a:prstGeom prst="rect">
                      <a:avLst/>
                    </a:prstGeom>
                    <a:noFill/>
                    <a:ln>
                      <a:noFill/>
                    </a:ln>
                  </pic:spPr>
                </pic:pic>
              </a:graphicData>
            </a:graphic>
          </wp:inline>
        </w:drawing>
      </w:r>
    </w:p>
    <w:p w14:paraId="34662FDC">
      <w:pPr>
        <w:pStyle w:val="5"/>
        <w:spacing w:line="360" w:lineRule="auto"/>
        <w:ind w:firstLine="0" w:firstLineChars="0"/>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失超诊断测量线转接器连接示意图</w:t>
      </w:r>
    </w:p>
    <w:p w14:paraId="11539A9A">
      <w:pPr>
        <w:adjustRightInd w:val="0"/>
        <w:snapToGrid w:val="0"/>
        <w:spacing w:before="120" w:beforeLines="50" w:line="360" w:lineRule="auto"/>
        <w:outlineLvl w:val="2"/>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w:t>
      </w:r>
      <w:r>
        <w:rPr>
          <w:rFonts w:hint="eastAsia"/>
          <w:b/>
          <w:color w:val="000000" w:themeColor="text1"/>
          <w:sz w:val="24"/>
          <w:highlight w:val="none"/>
          <w14:textFill>
            <w14:solidFill>
              <w14:schemeClr w14:val="tx1"/>
            </w14:solidFill>
          </w14:textFill>
        </w:rPr>
        <w:t>2、</w:t>
      </w:r>
      <w:r>
        <w:rPr>
          <w:b/>
          <w:color w:val="000000" w:themeColor="text1"/>
          <w:sz w:val="24"/>
          <w:highlight w:val="none"/>
          <w14:textFill>
            <w14:solidFill>
              <w14:schemeClr w14:val="tx1"/>
            </w14:solidFill>
          </w14:textFill>
        </w:rPr>
        <w:t>工作条件</w:t>
      </w:r>
    </w:p>
    <w:p w14:paraId="39FBA090">
      <w:pPr>
        <w:adjustRightInd w:val="0"/>
        <w:snapToGrid w:val="0"/>
        <w:spacing w:before="120" w:beforeLines="50"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BEST TF超导磁体线圈在4.5K~300K温区、高电21.2kV、高能辐照等极端工况下工作，因此，</w:t>
      </w:r>
      <w:r>
        <w:rPr>
          <w:rFonts w:hint="eastAsia"/>
          <w:color w:val="000000" w:themeColor="text1"/>
          <w:sz w:val="24"/>
          <w:highlight w:val="none"/>
          <w14:textFill>
            <w14:solidFill>
              <w14:schemeClr w14:val="tx1"/>
            </w14:solidFill>
          </w14:textFill>
        </w:rPr>
        <w:t>轴向绝缘子</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Tail Strap结构件、诊断测量线转接器及湿包绕树脂的工作条件与TF超导磁体线圈的工况一致。</w:t>
      </w:r>
    </w:p>
    <w:p w14:paraId="5C1B71B9">
      <w:pPr>
        <w:adjustRightInd w:val="0"/>
        <w:snapToGrid w:val="0"/>
        <w:spacing w:before="120" w:beforeLines="50" w:line="360" w:lineRule="auto"/>
        <w:outlineLvl w:val="2"/>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w:t>
      </w:r>
      <w:r>
        <w:rPr>
          <w:rFonts w:hint="eastAsia"/>
          <w:b/>
          <w:color w:val="000000" w:themeColor="text1"/>
          <w:sz w:val="24"/>
          <w:highlight w:val="none"/>
          <w14:textFill>
            <w14:solidFill>
              <w14:schemeClr w14:val="tx1"/>
            </w14:solidFill>
          </w14:textFill>
        </w:rPr>
        <w:t>3、</w:t>
      </w:r>
      <w:r>
        <w:rPr>
          <w:b/>
          <w:color w:val="000000" w:themeColor="text1"/>
          <w:sz w:val="24"/>
          <w:highlight w:val="none"/>
          <w14:textFill>
            <w14:solidFill>
              <w14:schemeClr w14:val="tx1"/>
            </w14:solidFill>
          </w14:textFill>
        </w:rPr>
        <w:t>技术性能指标要求</w:t>
      </w:r>
    </w:p>
    <w:p w14:paraId="098EE1D7">
      <w:pPr>
        <w:widowControl/>
        <w:spacing w:line="360" w:lineRule="auto"/>
        <w:jc w:val="left"/>
        <w:rPr>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 xml:space="preserve">2.3.1 </w:t>
      </w:r>
      <w:r>
        <w:rPr>
          <w:color w:val="000000" w:themeColor="text1"/>
          <w:kern w:val="0"/>
          <w:sz w:val="24"/>
          <w:highlight w:val="none"/>
          <w:lang w:bidi="ar"/>
          <w14:textFill>
            <w14:solidFill>
              <w14:schemeClr w14:val="tx1"/>
            </w14:solidFill>
          </w14:textFill>
        </w:rPr>
        <w:t>轴向绝缘子技术指标要求</w:t>
      </w:r>
    </w:p>
    <w:p w14:paraId="3577005D">
      <w:pPr>
        <w:widowControl/>
        <w:numPr>
          <w:ilvl w:val="0"/>
          <w:numId w:val="1"/>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工作温度：轴向绝缘子工作温度为4.2K。 </w:t>
      </w:r>
    </w:p>
    <w:p w14:paraId="468F24DF">
      <w:pPr>
        <w:widowControl/>
        <w:numPr>
          <w:ilvl w:val="0"/>
          <w:numId w:val="1"/>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耐辐照要求：核热组在《紧凑型聚变能实验装置（BEST）超导磁体核热》报告中给出TF 线圈（磁体系统最大辐射剂量）须承受不小于1.41MGy（Gamma辐射剂量）。轴向绝缘子是磁体系统重要组成部分，应能承受上述辐射剂量。 </w:t>
      </w:r>
    </w:p>
    <w:p w14:paraId="4DEE4169">
      <w:pPr>
        <w:widowControl/>
        <w:numPr>
          <w:ilvl w:val="0"/>
          <w:numId w:val="1"/>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耐电压要求：轴向绝缘子两极耐直流电压不小于30kV，绝缘电阻不小于1.0G </w:t>
      </w:r>
      <w:r>
        <w:rPr>
          <w:color w:val="000000" w:themeColor="text1"/>
          <w:kern w:val="0"/>
          <w:sz w:val="28"/>
          <w:szCs w:val="28"/>
          <w:highlight w:val="none"/>
          <w:lang w:bidi="ar"/>
          <w14:textFill>
            <w14:solidFill>
              <w14:schemeClr w14:val="tx1"/>
            </w14:solidFill>
          </w14:textFill>
        </w:rPr>
        <w:t>Ω。</w:t>
      </w:r>
      <w:r>
        <w:rPr>
          <w:color w:val="000000" w:themeColor="text1"/>
          <w:kern w:val="0"/>
          <w:sz w:val="24"/>
          <w:highlight w:val="none"/>
          <w:lang w:bidi="ar"/>
          <w14:textFill>
            <w14:solidFill>
              <w14:schemeClr w14:val="tx1"/>
            </w14:solidFill>
          </w14:textFill>
        </w:rPr>
        <w:t xml:space="preserve"> </w:t>
      </w:r>
    </w:p>
    <w:p w14:paraId="4E467B45">
      <w:pPr>
        <w:widowControl/>
        <w:numPr>
          <w:ilvl w:val="0"/>
          <w:numId w:val="1"/>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气密性要求：轴向绝缘子的氦气密性优于1.0E -9 Pa ·m</w:t>
      </w:r>
      <w:r>
        <w:rPr>
          <w:color w:val="000000" w:themeColor="text1"/>
          <w:kern w:val="0"/>
          <w:sz w:val="31"/>
          <w:szCs w:val="31"/>
          <w:highlight w:val="none"/>
          <w:vertAlign w:val="superscript"/>
          <w:lang w:bidi="ar"/>
          <w14:textFill>
            <w14:solidFill>
              <w14:schemeClr w14:val="tx1"/>
            </w14:solidFill>
          </w14:textFill>
        </w:rPr>
        <w:t>3</w:t>
      </w:r>
      <w:r>
        <w:rPr>
          <w:color w:val="000000" w:themeColor="text1"/>
          <w:kern w:val="0"/>
          <w:sz w:val="24"/>
          <w:highlight w:val="none"/>
          <w:lang w:bidi="ar"/>
          <w14:textFill>
            <w14:solidFill>
              <w14:schemeClr w14:val="tx1"/>
            </w14:solidFill>
          </w14:textFill>
        </w:rPr>
        <w:t xml:space="preserve">/s（3 .0MPa 氦气压） </w:t>
      </w:r>
    </w:p>
    <w:p w14:paraId="02A514B2">
      <w:pPr>
        <w:widowControl/>
        <w:numPr>
          <w:ilvl w:val="0"/>
          <w:numId w:val="1"/>
        </w:numPr>
        <w:spacing w:line="360" w:lineRule="auto"/>
        <w:jc w:val="left"/>
        <w:rPr>
          <w:color w:val="000000" w:themeColor="text1"/>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绝缘材料要求：玻璃纤维增强环氧树脂复合材料 。</w:t>
      </w:r>
    </w:p>
    <w:p w14:paraId="3F0A75C6">
      <w:pPr>
        <w:widowControl/>
        <w:numPr>
          <w:ilvl w:val="0"/>
          <w:numId w:val="1"/>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不锈钢要求：选用316L 和316LN 奥氏体不锈钢材料。 </w:t>
      </w:r>
    </w:p>
    <w:p w14:paraId="0C158E9B">
      <w:pPr>
        <w:widowControl/>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2.3.2 Tail Strap技术指标要求</w:t>
      </w:r>
    </w:p>
    <w:p w14:paraId="4E979B89">
      <w:pPr>
        <w:widowControl/>
        <w:numPr>
          <w:ilvl w:val="0"/>
          <w:numId w:val="2"/>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力学安全裕度要求：根据ITER 磁体强度设计标准（Part2），绝缘应力强度取2 倍安全系数，最小不小于1.5 倍的安全裕度。 </w:t>
      </w:r>
    </w:p>
    <w:p w14:paraId="622D121A">
      <w:pPr>
        <w:widowControl/>
        <w:numPr>
          <w:ilvl w:val="0"/>
          <w:numId w:val="2"/>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耐辐照要求：核热组在《紧凑型聚变能实验装置（BEST）超导磁体核热》报告中给出TF 线圈（磁体系统最大辐射剂量）须承受不小于1.41MGy（Gamma 辐射剂量）。Strap 和Filler 作为磁体系统重要组成部分，应能承受上述辐射剂量。 </w:t>
      </w:r>
    </w:p>
    <w:p w14:paraId="2280AF84">
      <w:pPr>
        <w:widowControl/>
        <w:numPr>
          <w:ilvl w:val="0"/>
          <w:numId w:val="2"/>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热膨胀率要求：Strap 在环向载荷拉伸方向，常温293K 到77K 膨胀率/收缩率不小于0.15%，且不大于0.4%。 </w:t>
      </w:r>
    </w:p>
    <w:p w14:paraId="0251A58F">
      <w:pPr>
        <w:widowControl/>
        <w:numPr>
          <w:ilvl w:val="0"/>
          <w:numId w:val="2"/>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TF载荷信息：TF 高场区载荷30.7吨，TF低场区载荷22.3吨。 </w:t>
      </w:r>
    </w:p>
    <w:p w14:paraId="467FEF05">
      <w:pPr>
        <w:widowControl/>
        <w:numPr>
          <w:ilvl w:val="0"/>
          <w:numId w:val="2"/>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BEST TF 磁体Strap 分为高场区和低场区，根据承受最大载荷定义Strap 技术要求 ：</w:t>
      </w:r>
    </w:p>
    <w:p w14:paraId="08030E2B">
      <w:pPr>
        <w:widowControl/>
        <w:numPr>
          <w:ilvl w:val="0"/>
          <w:numId w:val="3"/>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Strap 弹性模量不小于30GPa@77K，收缩率不小于0.15%，且不大于0 .4%@RT-77K。</w:t>
      </w:r>
    </w:p>
    <w:p w14:paraId="4B72763E">
      <w:pPr>
        <w:widowControl/>
        <w:numPr>
          <w:ilvl w:val="0"/>
          <w:numId w:val="3"/>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拉伸强度不小于830MPa@77K，执行参照标准：ASTM/D638 -2008 Standard TestMethod for Tensile Properties of Plastics。</w:t>
      </w:r>
    </w:p>
    <w:p w14:paraId="208EB0F9">
      <w:pPr>
        <w:widowControl/>
        <w:numPr>
          <w:ilvl w:val="0"/>
          <w:numId w:val="3"/>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压缩强度不小于750MPa@77K，执行参照标准：GB/T 1448-2005 纤维增强塑料压缩性能试验方法。</w:t>
      </w:r>
    </w:p>
    <w:p w14:paraId="2DF14D25">
      <w:pPr>
        <w:widowControl/>
        <w:numPr>
          <w:ilvl w:val="0"/>
          <w:numId w:val="3"/>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工业CT/射线检测无明显裂纹、纤维褶皱、气泡及纯胶等缺陷射线检测执行标准GB T33488.3 化工用塑料焊接制承压设备检验方法第3 部分射线检测。</w:t>
      </w:r>
    </w:p>
    <w:p w14:paraId="00D8AF8F">
      <w:pPr>
        <w:widowControl/>
        <w:numPr>
          <w:ilvl w:val="0"/>
          <w:numId w:val="3"/>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制备Strap 所用树脂与BEST TF VPI 制备所用树脂相同，要求使用高强耐辐射玻纤制品作为力学增强材料。 </w:t>
      </w:r>
    </w:p>
    <w:p w14:paraId="687360FB">
      <w:pPr>
        <w:widowControl/>
        <w:spacing w:line="360" w:lineRule="auto"/>
        <w:jc w:val="left"/>
        <w:rPr>
          <w:rFonts w:hint="eastAsia"/>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2.3.3 失超诊断测量线转接器技术指标要求</w:t>
      </w:r>
    </w:p>
    <w:p w14:paraId="70CCC141">
      <w:pPr>
        <w:numPr>
          <w:ilvl w:val="0"/>
          <w:numId w:val="4"/>
        </w:numPr>
        <w:spacing w:line="360" w:lineRule="auto"/>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工作温度</w:t>
      </w:r>
      <w:r>
        <w:rPr>
          <w:rFonts w:hint="eastAsia"/>
          <w:color w:val="000000" w:themeColor="text1"/>
          <w:kern w:val="0"/>
          <w:sz w:val="24"/>
          <w:highlight w:val="none"/>
          <w:lang w:bidi="ar"/>
          <w14:textFill>
            <w14:solidFill>
              <w14:schemeClr w14:val="tx1"/>
            </w14:solidFill>
          </w14:textFill>
        </w:rPr>
        <w:t>：</w:t>
      </w:r>
      <w:r>
        <w:rPr>
          <w:color w:val="000000" w:themeColor="text1"/>
          <w:kern w:val="0"/>
          <w:sz w:val="24"/>
          <w:highlight w:val="none"/>
          <w:lang w:bidi="ar"/>
          <w14:textFill>
            <w14:solidFill>
              <w14:schemeClr w14:val="tx1"/>
            </w14:solidFill>
          </w14:textFill>
        </w:rPr>
        <w:t>失超诊断测量线转接器工作温度为4.2K。</w:t>
      </w:r>
    </w:p>
    <w:p w14:paraId="5FF9583D">
      <w:pPr>
        <w:numPr>
          <w:ilvl w:val="0"/>
          <w:numId w:val="4"/>
        </w:numPr>
        <w:spacing w:line="360" w:lineRule="auto"/>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耐辐射要求</w:t>
      </w:r>
      <w:r>
        <w:rPr>
          <w:rFonts w:hint="eastAsia"/>
          <w:color w:val="000000" w:themeColor="text1"/>
          <w:kern w:val="0"/>
          <w:sz w:val="24"/>
          <w:highlight w:val="none"/>
          <w:lang w:bidi="ar"/>
          <w14:textFill>
            <w14:solidFill>
              <w14:schemeClr w14:val="tx1"/>
            </w14:solidFill>
          </w14:textFill>
        </w:rPr>
        <w:t>：</w:t>
      </w:r>
      <w:r>
        <w:rPr>
          <w:color w:val="000000" w:themeColor="text1"/>
          <w:kern w:val="0"/>
          <w:sz w:val="24"/>
          <w:highlight w:val="none"/>
          <w:lang w:bidi="ar"/>
          <w14:textFill>
            <w14:solidFill>
              <w14:schemeClr w14:val="tx1"/>
            </w14:solidFill>
          </w14:textFill>
        </w:rPr>
        <w:t>核热组在《紧凑型聚变能实验装置（BEST）超导磁体核热》报告中给出TF 线圈（磁体系统最大辐射剂量）须承受不小于1.41MGy（Gamma辐射剂量）。失超诊断测量线转接器是磁体系统重要组成部分，应能承受上述辐射剂量。</w:t>
      </w:r>
    </w:p>
    <w:p w14:paraId="3B4FC42A">
      <w:pPr>
        <w:numPr>
          <w:ilvl w:val="0"/>
          <w:numId w:val="4"/>
        </w:numPr>
        <w:spacing w:line="360" w:lineRule="auto"/>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耐电压要求</w:t>
      </w:r>
      <w:r>
        <w:rPr>
          <w:rFonts w:hint="eastAsia"/>
          <w:color w:val="000000" w:themeColor="text1"/>
          <w:kern w:val="0"/>
          <w:sz w:val="24"/>
          <w:highlight w:val="none"/>
          <w:lang w:bidi="ar"/>
          <w14:textFill>
            <w14:solidFill>
              <w14:schemeClr w14:val="tx1"/>
            </w14:solidFill>
          </w14:textFill>
        </w:rPr>
        <w:t>：</w:t>
      </w:r>
    </w:p>
    <w:p w14:paraId="245C63DF">
      <w:pPr>
        <w:numPr>
          <w:ilvl w:val="0"/>
          <w:numId w:val="5"/>
        </w:numPr>
        <w:spacing w:line="360" w:lineRule="auto"/>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耐直流电压不小于21.2kV，持续时间5min，绝缘电阻不小于500M Ω，无明显伴随噪声、光亮、烟尘的放电现象；</w:t>
      </w:r>
    </w:p>
    <w:p w14:paraId="0E825E8C">
      <w:pPr>
        <w:numPr>
          <w:ilvl w:val="0"/>
          <w:numId w:val="5"/>
        </w:numPr>
        <w:spacing w:line="360" w:lineRule="auto"/>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耐交流电压不小于5.09kV，持续时间1min，电流没有突然尖峰，然后又下降或仍然很高，无明显伴随光亮、烟尘的放电现象；</w:t>
      </w:r>
    </w:p>
    <w:p w14:paraId="08674BF1">
      <w:pPr>
        <w:widowControl/>
        <w:numPr>
          <w:ilvl w:val="0"/>
          <w:numId w:val="5"/>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Paschen 测试直流电压不小于8.2kV，持续时间1min，无明显伴随噪声、光亮、烟尘的放电现象，漏电流小于20uA。 </w:t>
      </w:r>
    </w:p>
    <w:p w14:paraId="138F4493">
      <w:pPr>
        <w:widowControl/>
        <w:numPr>
          <w:ilvl w:val="0"/>
          <w:numId w:val="4"/>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绝缘材料要求：高强S6 玻璃纤维带、Kapton-HN 型聚酰亚胺薄膜增强环氧树脂复合材料。</w:t>
      </w:r>
    </w:p>
    <w:p w14:paraId="11AD6566">
      <w:pPr>
        <w:widowControl/>
        <w:numPr>
          <w:ilvl w:val="0"/>
          <w:numId w:val="4"/>
        </w:numPr>
        <w:spacing w:line="360" w:lineRule="auto"/>
        <w:jc w:val="left"/>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 xml:space="preserve">不锈钢材料：选用316L 和316LN 奥氏体不锈钢材料。 </w:t>
      </w:r>
    </w:p>
    <w:p w14:paraId="31DFA97D">
      <w:pPr>
        <w:widowControl/>
        <w:spacing w:line="360" w:lineRule="auto"/>
        <w:jc w:val="left"/>
        <w:rPr>
          <w:color w:val="000000" w:themeColor="text1"/>
          <w:kern w:val="0"/>
          <w:sz w:val="24"/>
          <w:highlight w:val="none"/>
          <w:lang w:bidi="ar"/>
          <w14:textFill>
            <w14:solidFill>
              <w14:schemeClr w14:val="tx1"/>
            </w14:solidFill>
          </w14:textFill>
        </w:rPr>
      </w:pPr>
      <w:r>
        <w:rPr>
          <w:rFonts w:hint="eastAsia"/>
          <w:color w:val="000000" w:themeColor="text1"/>
          <w:kern w:val="0"/>
          <w:sz w:val="24"/>
          <w:highlight w:val="none"/>
          <w:lang w:bidi="ar"/>
          <w14:textFill>
            <w14:solidFill>
              <w14:schemeClr w14:val="tx1"/>
            </w14:solidFill>
          </w14:textFill>
        </w:rPr>
        <w:t>2.3.4 湿包绕树脂技术指标要求</w:t>
      </w:r>
    </w:p>
    <w:p w14:paraId="32CDC829">
      <w:pPr>
        <w:widowControl/>
        <w:numPr>
          <w:ilvl w:val="0"/>
          <w:numId w:val="6"/>
        </w:numPr>
        <w:spacing w:line="360" w:lineRule="auto"/>
        <w:textAlignment w:val="center"/>
        <w:rPr>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工作温度</w:t>
      </w:r>
      <w:r>
        <w:rPr>
          <w:rFonts w:hint="eastAsia"/>
          <w:color w:val="000000" w:themeColor="text1"/>
          <w:kern w:val="0"/>
          <w:sz w:val="24"/>
          <w:highlight w:val="none"/>
          <w:lang w:bidi="ar"/>
          <w14:textFill>
            <w14:solidFill>
              <w14:schemeClr w14:val="tx1"/>
            </w14:solidFill>
          </w14:textFill>
        </w:rPr>
        <w:t>：</w:t>
      </w:r>
      <w:r>
        <w:rPr>
          <w:color w:val="000000" w:themeColor="text1"/>
          <w:kern w:val="0"/>
          <w:sz w:val="24"/>
          <w:highlight w:val="none"/>
          <w:lang w:bidi="ar"/>
          <w14:textFill>
            <w14:solidFill>
              <w14:schemeClr w14:val="tx1"/>
            </w14:solidFill>
          </w14:textFill>
        </w:rPr>
        <w:t>失超诊断测量线转接器工作温度为4.2K。</w:t>
      </w:r>
    </w:p>
    <w:p w14:paraId="1A026F4A">
      <w:pPr>
        <w:widowControl/>
        <w:numPr>
          <w:ilvl w:val="0"/>
          <w:numId w:val="6"/>
        </w:numPr>
        <w:spacing w:line="360" w:lineRule="auto"/>
        <w:jc w:val="left"/>
        <w:textAlignment w:val="center"/>
        <w:rPr>
          <w:color w:val="000000" w:themeColor="text1"/>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耐辐射要求</w:t>
      </w:r>
      <w:r>
        <w:rPr>
          <w:rFonts w:hint="eastAsia"/>
          <w:color w:val="000000" w:themeColor="text1"/>
          <w:kern w:val="0"/>
          <w:sz w:val="24"/>
          <w:highlight w:val="none"/>
          <w:lang w:bidi="ar"/>
          <w14:textFill>
            <w14:solidFill>
              <w14:schemeClr w14:val="tx1"/>
            </w14:solidFill>
          </w14:textFill>
        </w:rPr>
        <w:t>：</w:t>
      </w:r>
      <w:r>
        <w:rPr>
          <w:color w:val="000000" w:themeColor="text1"/>
          <w:kern w:val="0"/>
          <w:sz w:val="24"/>
          <w:highlight w:val="none"/>
          <w:lang w:bidi="ar"/>
          <w14:textFill>
            <w14:solidFill>
              <w14:schemeClr w14:val="tx1"/>
            </w14:solidFill>
          </w14:textFill>
        </w:rPr>
        <w:t>核热组在《紧凑型聚变能实验装置（BEST）超导磁体核热》报告中给出TF 线圈（磁体系统最大辐射剂量）须承受不小于1.41MGy（Gamma辐射剂量）。失超诊断测量线转接器是磁体系统重要组成部分，应能承受上述辐射剂量</w:t>
      </w:r>
      <w:r>
        <w:rPr>
          <w:rFonts w:hint="eastAsia"/>
          <w:color w:val="000000" w:themeColor="text1"/>
          <w:kern w:val="0"/>
          <w:sz w:val="24"/>
          <w:highlight w:val="none"/>
          <w:lang w:bidi="ar"/>
          <w14:textFill>
            <w14:solidFill>
              <w14:schemeClr w14:val="tx1"/>
            </w14:solidFill>
          </w14:textFill>
        </w:rPr>
        <w:t>。</w:t>
      </w:r>
    </w:p>
    <w:p w14:paraId="7AC86B77">
      <w:pPr>
        <w:widowControl/>
        <w:numPr>
          <w:ilvl w:val="0"/>
          <w:numId w:val="6"/>
        </w:numPr>
        <w:spacing w:line="360" w:lineRule="auto"/>
        <w:jc w:val="left"/>
        <w:textAlignment w:val="center"/>
        <w:rPr>
          <w:color w:val="000000" w:themeColor="text1"/>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室温固化树脂体系的外观为透明色，双组分体系，混合后粘度</w:t>
      </w:r>
      <w:r>
        <w:rPr>
          <w:color w:val="000000" w:themeColor="text1"/>
          <w:kern w:val="0"/>
          <w:sz w:val="24"/>
          <w:highlight w:val="none"/>
          <w:lang w:bidi="ar"/>
          <w14:textFill>
            <w14:solidFill>
              <w14:schemeClr w14:val="tx1"/>
            </w14:solidFill>
          </w14:textFill>
        </w:rPr>
        <w:t>2000~4000 mPa ·s@25℃</w:t>
      </w:r>
      <w:r>
        <w:rPr>
          <w:rFonts w:hint="eastAsia" w:ascii="宋体" w:hAnsi="宋体" w:cs="宋体"/>
          <w:color w:val="000000" w:themeColor="text1"/>
          <w:kern w:val="0"/>
          <w:sz w:val="24"/>
          <w:highlight w:val="none"/>
          <w:lang w:bidi="ar"/>
          <w14:textFill>
            <w14:solidFill>
              <w14:schemeClr w14:val="tx1"/>
            </w14:solidFill>
          </w14:textFill>
        </w:rPr>
        <w:t>，固化后密度</w:t>
      </w:r>
      <w:r>
        <w:rPr>
          <w:color w:val="000000" w:themeColor="text1"/>
          <w:kern w:val="0"/>
          <w:sz w:val="24"/>
          <w:highlight w:val="none"/>
          <w:lang w:bidi="ar"/>
          <w14:textFill>
            <w14:solidFill>
              <w14:schemeClr w14:val="tx1"/>
            </w14:solidFill>
          </w14:textFill>
        </w:rPr>
        <w:t>1.15~1.25 g/ml</w:t>
      </w:r>
      <w:r>
        <w:rPr>
          <w:rFonts w:hint="eastAsia" w:ascii="宋体" w:hAnsi="宋体" w:cs="宋体"/>
          <w:color w:val="000000" w:themeColor="text1"/>
          <w:kern w:val="0"/>
          <w:sz w:val="24"/>
          <w:highlight w:val="none"/>
          <w:lang w:bidi="ar"/>
          <w14:textFill>
            <w14:solidFill>
              <w14:schemeClr w14:val="tx1"/>
            </w14:solidFill>
          </w14:textFill>
        </w:rPr>
        <w:t>。</w:t>
      </w:r>
      <w:r>
        <w:rPr>
          <w:rFonts w:ascii="宋体" w:hAnsi="宋体" w:cs="宋体"/>
          <w:color w:val="000000" w:themeColor="text1"/>
          <w:kern w:val="0"/>
          <w:sz w:val="24"/>
          <w:highlight w:val="none"/>
          <w:lang w:bidi="ar"/>
          <w14:textFill>
            <w14:solidFill>
              <w14:schemeClr w14:val="tx1"/>
            </w14:solidFill>
          </w14:textFill>
        </w:rPr>
        <w:t xml:space="preserve"> </w:t>
      </w:r>
    </w:p>
    <w:p w14:paraId="7D53BF98">
      <w:pPr>
        <w:widowControl/>
        <w:numPr>
          <w:ilvl w:val="0"/>
          <w:numId w:val="6"/>
        </w:numPr>
        <w:spacing w:line="360" w:lineRule="auto"/>
        <w:jc w:val="left"/>
        <w:textAlignment w:val="center"/>
      </w:pPr>
      <w:r>
        <w:rPr>
          <w:rFonts w:hint="eastAsia" w:ascii="宋体" w:hAnsi="宋体" w:cs="宋体"/>
          <w:color w:val="000000" w:themeColor="text1"/>
          <w:kern w:val="0"/>
          <w:sz w:val="24"/>
          <w:highlight w:val="none"/>
          <w:lang w:bidi="ar"/>
          <w14:textFill>
            <w14:solidFill>
              <w14:schemeClr w14:val="tx1"/>
            </w14:solidFill>
          </w14:textFill>
        </w:rPr>
        <w:t>固化工艺：可室温固化，固化时间不大于</w:t>
      </w:r>
      <w:r>
        <w:rPr>
          <w:color w:val="000000" w:themeColor="text1"/>
          <w:kern w:val="0"/>
          <w:sz w:val="24"/>
          <w:highlight w:val="none"/>
          <w:lang w:bidi="ar"/>
          <w14:textFill>
            <w14:solidFill>
              <w14:schemeClr w14:val="tx1"/>
            </w14:solidFill>
          </w14:textFill>
        </w:rPr>
        <w:t xml:space="preserve">72 </w:t>
      </w:r>
      <w:r>
        <w:rPr>
          <w:rFonts w:hint="eastAsia" w:ascii="宋体" w:hAnsi="宋体" w:cs="宋体"/>
          <w:color w:val="000000" w:themeColor="text1"/>
          <w:kern w:val="0"/>
          <w:sz w:val="24"/>
          <w:highlight w:val="none"/>
          <w:lang w:bidi="ar"/>
          <w14:textFill>
            <w14:solidFill>
              <w14:schemeClr w14:val="tx1"/>
            </w14:solidFill>
          </w14:textFill>
        </w:rPr>
        <w:t>小时；可加热固化，固化温度不高于</w:t>
      </w:r>
      <w:r>
        <w:rPr>
          <w:color w:val="000000" w:themeColor="text1"/>
          <w:kern w:val="0"/>
          <w:sz w:val="24"/>
          <w:highlight w:val="none"/>
          <w:lang w:bidi="ar"/>
          <w14:textFill>
            <w14:solidFill>
              <w14:schemeClr w14:val="tx1"/>
            </w14:solidFill>
          </w14:textFill>
        </w:rPr>
        <w:t>100</w:t>
      </w:r>
      <w:r>
        <w:rPr>
          <w:color w:val="000000" w:themeColor="text1"/>
          <w:kern w:val="0"/>
          <w:sz w:val="31"/>
          <w:szCs w:val="31"/>
          <w:highlight w:val="none"/>
          <w:vertAlign w:val="superscript"/>
          <w:lang w:bidi="ar"/>
          <w14:textFill>
            <w14:solidFill>
              <w14:schemeClr w14:val="tx1"/>
            </w14:solidFill>
          </w14:textFill>
        </w:rPr>
        <w:t>o</w:t>
      </w:r>
      <w:r>
        <w:rPr>
          <w:color w:val="000000" w:themeColor="text1"/>
          <w:kern w:val="0"/>
          <w:sz w:val="24"/>
          <w:highlight w:val="none"/>
          <w:lang w:bidi="ar"/>
          <w14:textFill>
            <w14:solidFill>
              <w14:schemeClr w14:val="tx1"/>
            </w14:solidFill>
          </w14:textFill>
        </w:rPr>
        <w:t>C</w:t>
      </w:r>
      <w:r>
        <w:rPr>
          <w:rFonts w:hint="eastAsia"/>
          <w:color w:val="000000" w:themeColor="text1"/>
          <w:kern w:val="0"/>
          <w:sz w:val="24"/>
          <w:highlight w:val="none"/>
          <w:lang w:bidi="ar"/>
          <w14:textFill>
            <w14:solidFill>
              <w14:schemeClr w14:val="tx1"/>
            </w14:solidFill>
          </w14:textFill>
        </w:rPr>
        <w:t>。</w:t>
      </w:r>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7A09CC"/>
    <w:multiLevelType w:val="singleLevel"/>
    <w:tmpl w:val="A47A09CC"/>
    <w:lvl w:ilvl="0" w:tentative="0">
      <w:start w:val="1"/>
      <w:numFmt w:val="decimal"/>
      <w:lvlText w:val="%1)"/>
      <w:lvlJc w:val="left"/>
      <w:pPr>
        <w:ind w:left="425" w:hanging="425"/>
      </w:pPr>
      <w:rPr>
        <w:rFonts w:hint="default"/>
      </w:rPr>
    </w:lvl>
  </w:abstractNum>
  <w:abstractNum w:abstractNumId="1">
    <w:nsid w:val="B1E69DEC"/>
    <w:multiLevelType w:val="singleLevel"/>
    <w:tmpl w:val="B1E69DEC"/>
    <w:lvl w:ilvl="0" w:tentative="0">
      <w:start w:val="1"/>
      <w:numFmt w:val="decimal"/>
      <w:lvlText w:val="%1)"/>
      <w:lvlJc w:val="left"/>
      <w:pPr>
        <w:ind w:left="425" w:hanging="425"/>
      </w:pPr>
      <w:rPr>
        <w:rFonts w:hint="default"/>
      </w:rPr>
    </w:lvl>
  </w:abstractNum>
  <w:abstractNum w:abstractNumId="2">
    <w:nsid w:val="D137E400"/>
    <w:multiLevelType w:val="singleLevel"/>
    <w:tmpl w:val="D137E400"/>
    <w:lvl w:ilvl="0" w:tentative="0">
      <w:start w:val="1"/>
      <w:numFmt w:val="decimal"/>
      <w:lvlText w:val="%1)"/>
      <w:lvlJc w:val="left"/>
      <w:pPr>
        <w:ind w:left="425" w:hanging="425"/>
      </w:pPr>
      <w:rPr>
        <w:rFonts w:hint="default"/>
      </w:rPr>
    </w:lvl>
  </w:abstractNum>
  <w:abstractNum w:abstractNumId="3">
    <w:nsid w:val="39047722"/>
    <w:multiLevelType w:val="singleLevel"/>
    <w:tmpl w:val="39047722"/>
    <w:lvl w:ilvl="0" w:tentative="0">
      <w:start w:val="1"/>
      <w:numFmt w:val="decimal"/>
      <w:lvlText w:val="%1)"/>
      <w:lvlJc w:val="left"/>
      <w:pPr>
        <w:ind w:left="425" w:hanging="425"/>
      </w:pPr>
      <w:rPr>
        <w:rFonts w:hint="default"/>
      </w:rPr>
    </w:lvl>
  </w:abstractNum>
  <w:abstractNum w:abstractNumId="4">
    <w:nsid w:val="48B9B9F3"/>
    <w:multiLevelType w:val="singleLevel"/>
    <w:tmpl w:val="48B9B9F3"/>
    <w:lvl w:ilvl="0" w:tentative="0">
      <w:start w:val="1"/>
      <w:numFmt w:val="lowerLetter"/>
      <w:lvlText w:val="%1."/>
      <w:lvlJc w:val="left"/>
      <w:pPr>
        <w:ind w:left="425" w:hanging="425"/>
      </w:pPr>
      <w:rPr>
        <w:rFonts w:hint="default"/>
      </w:rPr>
    </w:lvl>
  </w:abstractNum>
  <w:abstractNum w:abstractNumId="5">
    <w:nsid w:val="4DB7C526"/>
    <w:multiLevelType w:val="singleLevel"/>
    <w:tmpl w:val="4DB7C526"/>
    <w:lvl w:ilvl="0" w:tentative="0">
      <w:start w:val="1"/>
      <w:numFmt w:val="lowerLetter"/>
      <w:lvlText w:val="%1."/>
      <w:lvlJc w:val="left"/>
      <w:pPr>
        <w:ind w:left="425" w:hanging="425"/>
      </w:pPr>
      <w:rPr>
        <w:rFonts w:hint="default"/>
      </w:rPr>
    </w:lvl>
  </w:abstractNum>
  <w:num w:numId="1">
    <w:abstractNumId w:val="1"/>
  </w:num>
  <w:num w:numId="2">
    <w:abstractNumId w:val="3"/>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710EA3"/>
    <w:rsid w:val="16710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after="330" w:afterLines="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2026-10-08T01:24:00Z</dcterms:created>
  <dc:creator>宋方方</dc:creator>
  <cp:lastModifiedBy>宋方方</cp:lastModifiedBy>
  <dcterms:modified xsi:type="dcterms:W3CDTF">2026-10-08T01:24:53Z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298A599BFBFB4B34B9540246287DC1AF_11</vt:lpwstr>
  </property>
  <property fmtid="{D5CDD505-2E9C-101B-9397-08002B2CF9AE}" pid="4" name="KSOTemplateDocerSaveRecord">
    <vt:lpwstr>eyJoZGlkIjoiY2ZjZDI4YmRkZDY3MGZmNjNjY2JiZTFlYmI4OWM0ZWEiLCJ1c2VySWQiOiIxNzYzODEyODI4In0=</vt:lpwstr>
  </property>
</Properties>
</file>