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2FDCF8">
      <w:pPr>
        <w:pStyle w:val="3"/>
        <w:widowControl/>
        <w:snapToGrid w:val="0"/>
        <w:spacing w:before="0" w:after="0" w:line="360" w:lineRule="auto"/>
        <w:jc w:val="center"/>
        <w:rPr>
          <w:rFonts w:hint="eastAsia" w:ascii="宋体" w:hAnsi="宋体"/>
          <w:color w:val="000000"/>
          <w:highlight w:val="none"/>
        </w:rPr>
      </w:pPr>
      <w:r>
        <w:rPr>
          <w:rFonts w:hint="eastAsia" w:ascii="宋体" w:hAnsi="宋体"/>
          <w:color w:val="000000"/>
          <w:highlight w:val="none"/>
        </w:rPr>
        <w:t>采购需求及技术规格要求</w:t>
      </w:r>
    </w:p>
    <w:p w14:paraId="6020B572">
      <w:pPr>
        <w:adjustRightInd w:val="0"/>
        <w:snapToGrid w:val="0"/>
        <w:spacing w:before="120" w:beforeLines="50" w:line="360" w:lineRule="auto"/>
        <w:rPr>
          <w:b/>
          <w:color w:val="000000"/>
          <w:sz w:val="24"/>
          <w:highlight w:val="none"/>
        </w:rPr>
      </w:pPr>
      <w:r>
        <w:rPr>
          <w:b/>
          <w:color w:val="000000"/>
          <w:sz w:val="24"/>
          <w:highlight w:val="none"/>
        </w:rPr>
        <w:t>1</w:t>
      </w:r>
      <w:r>
        <w:rPr>
          <w:rFonts w:hint="eastAsia"/>
          <w:b/>
          <w:color w:val="000000"/>
          <w:sz w:val="24"/>
          <w:highlight w:val="none"/>
        </w:rPr>
        <w:t>、</w:t>
      </w:r>
      <w:r>
        <w:rPr>
          <w:b/>
          <w:color w:val="000000"/>
          <w:sz w:val="24"/>
          <w:highlight w:val="none"/>
        </w:rPr>
        <w:t>货物需求一览表</w:t>
      </w:r>
    </w:p>
    <w:p w14:paraId="22A467AE">
      <w:pPr>
        <w:widowControl/>
        <w:spacing w:line="360" w:lineRule="auto"/>
        <w:ind w:firstLine="420" w:firstLineChars="200"/>
        <w:rPr>
          <w:rFonts w:ascii="宋体" w:hAnsi="宋体"/>
          <w:color w:val="000000"/>
          <w:szCs w:val="21"/>
          <w:highlight w:val="none"/>
        </w:rPr>
      </w:pPr>
    </w:p>
    <w:tbl>
      <w:tblPr>
        <w:tblStyle w:val="4"/>
        <w:tblW w:w="75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3059"/>
        <w:gridCol w:w="1089"/>
        <w:gridCol w:w="2574"/>
      </w:tblGrid>
      <w:tr w14:paraId="19FD0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04" w:type="dxa"/>
            <w:noWrap w:val="0"/>
            <w:vAlign w:val="center"/>
          </w:tcPr>
          <w:p w14:paraId="5997F207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序号</w:t>
            </w:r>
          </w:p>
        </w:tc>
        <w:tc>
          <w:tcPr>
            <w:tcW w:w="3059" w:type="dxa"/>
            <w:noWrap w:val="0"/>
            <w:vAlign w:val="center"/>
          </w:tcPr>
          <w:p w14:paraId="10A100F2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货物名称</w:t>
            </w:r>
          </w:p>
        </w:tc>
        <w:tc>
          <w:tcPr>
            <w:tcW w:w="1089" w:type="dxa"/>
            <w:noWrap w:val="0"/>
            <w:vAlign w:val="center"/>
          </w:tcPr>
          <w:p w14:paraId="0EDD4E5A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数量</w:t>
            </w:r>
          </w:p>
        </w:tc>
        <w:tc>
          <w:tcPr>
            <w:tcW w:w="2574" w:type="dxa"/>
            <w:noWrap w:val="0"/>
            <w:vAlign w:val="center"/>
          </w:tcPr>
          <w:p w14:paraId="24C3E609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交货期</w:t>
            </w:r>
          </w:p>
        </w:tc>
      </w:tr>
      <w:tr w14:paraId="2B11F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804" w:type="dxa"/>
            <w:noWrap w:val="0"/>
            <w:vAlign w:val="center"/>
          </w:tcPr>
          <w:p w14:paraId="26142E05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  <w:highlight w:val="none"/>
              </w:rPr>
            </w:pPr>
          </w:p>
        </w:tc>
        <w:tc>
          <w:tcPr>
            <w:tcW w:w="3059" w:type="dxa"/>
            <w:noWrap w:val="0"/>
            <w:vAlign w:val="center"/>
          </w:tcPr>
          <w:p w14:paraId="1BE8F918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等离子体热负荷测试平台</w:t>
            </w:r>
          </w:p>
        </w:tc>
        <w:tc>
          <w:tcPr>
            <w:tcW w:w="1089" w:type="dxa"/>
            <w:noWrap w:val="0"/>
            <w:vAlign w:val="center"/>
          </w:tcPr>
          <w:p w14:paraId="7750B930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1</w:t>
            </w:r>
          </w:p>
        </w:tc>
        <w:tc>
          <w:tcPr>
            <w:tcW w:w="2574" w:type="dxa"/>
            <w:noWrap w:val="0"/>
            <w:vAlign w:val="center"/>
          </w:tcPr>
          <w:p w14:paraId="7ED87E3C">
            <w:pPr>
              <w:adjustRightInd w:val="0"/>
              <w:snapToGrid w:val="0"/>
              <w:jc w:val="center"/>
              <w:rPr>
                <w:rFonts w:hint="default" w:ascii="宋体" w:hAnsi="宋体" w:eastAsia="宋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highlight w:val="none"/>
                <w:lang w:val="en-US" w:eastAsia="zh-CN"/>
              </w:rPr>
              <w:t>合同签订后6个月内</w:t>
            </w:r>
          </w:p>
        </w:tc>
      </w:tr>
    </w:tbl>
    <w:p w14:paraId="7871E95E">
      <w:pPr>
        <w:adjustRightInd w:val="0"/>
        <w:snapToGrid w:val="0"/>
        <w:spacing w:line="360" w:lineRule="auto"/>
        <w:ind w:firstLine="482" w:firstLineChars="200"/>
        <w:rPr>
          <w:rFonts w:hint="eastAsia"/>
          <w:b/>
          <w:color w:val="000000"/>
          <w:sz w:val="24"/>
          <w:highlight w:val="none"/>
        </w:rPr>
      </w:pPr>
      <w:bookmarkStart w:id="0" w:name="_Toc12010815"/>
      <w:bookmarkStart w:id="1" w:name="_Toc12010788"/>
      <w:bookmarkStart w:id="2" w:name="_Toc30409514"/>
      <w:bookmarkStart w:id="3" w:name="_Toc257021215"/>
      <w:bookmarkStart w:id="4" w:name="_Toc509153917"/>
      <w:bookmarkStart w:id="5" w:name="_Toc532807472"/>
    </w:p>
    <w:p w14:paraId="140204D4">
      <w:pPr>
        <w:adjustRightInd w:val="0"/>
        <w:snapToGrid w:val="0"/>
        <w:spacing w:before="120" w:beforeLines="50" w:line="360" w:lineRule="auto"/>
        <w:rPr>
          <w:rFonts w:hint="eastAsia"/>
          <w:b/>
          <w:color w:val="000000"/>
          <w:sz w:val="24"/>
          <w:highlight w:val="none"/>
        </w:rPr>
      </w:pPr>
      <w:r>
        <w:rPr>
          <w:b/>
          <w:color w:val="000000"/>
          <w:sz w:val="24"/>
          <w:highlight w:val="none"/>
        </w:rPr>
        <w:t>2</w:t>
      </w:r>
      <w:r>
        <w:rPr>
          <w:rFonts w:hint="eastAsia"/>
          <w:b/>
          <w:color w:val="000000"/>
          <w:sz w:val="24"/>
          <w:highlight w:val="none"/>
        </w:rPr>
        <w:t>、</w:t>
      </w:r>
      <w:r>
        <w:rPr>
          <w:b/>
          <w:color w:val="000000"/>
          <w:sz w:val="24"/>
          <w:highlight w:val="none"/>
        </w:rPr>
        <w:t>工程技术要求</w:t>
      </w:r>
      <w:bookmarkEnd w:id="0"/>
      <w:bookmarkEnd w:id="1"/>
      <w:bookmarkEnd w:id="2"/>
      <w:bookmarkEnd w:id="3"/>
      <w:bookmarkEnd w:id="4"/>
      <w:bookmarkEnd w:id="5"/>
    </w:p>
    <w:p w14:paraId="0FAFD5CC">
      <w:pPr>
        <w:adjustRightInd w:val="0"/>
        <w:snapToGrid w:val="0"/>
        <w:spacing w:before="120" w:beforeLines="50" w:line="360" w:lineRule="auto"/>
        <w:rPr>
          <w:b/>
          <w:color w:val="000000"/>
          <w:sz w:val="24"/>
          <w:highlight w:val="none"/>
        </w:rPr>
      </w:pPr>
      <w:r>
        <w:rPr>
          <w:b/>
          <w:color w:val="000000"/>
          <w:sz w:val="24"/>
          <w:highlight w:val="none"/>
        </w:rPr>
        <w:t>2.</w:t>
      </w:r>
      <w:r>
        <w:rPr>
          <w:rFonts w:hint="eastAsia"/>
          <w:b/>
          <w:color w:val="000000"/>
          <w:sz w:val="24"/>
          <w:highlight w:val="none"/>
        </w:rPr>
        <w:t>1、</w:t>
      </w:r>
      <w:r>
        <w:rPr>
          <w:b/>
          <w:color w:val="000000"/>
          <w:sz w:val="24"/>
          <w:highlight w:val="none"/>
        </w:rPr>
        <w:t>设备的主要用途及功能</w:t>
      </w:r>
    </w:p>
    <w:p w14:paraId="7FAF5B00">
      <w:pPr>
        <w:spacing w:after="120" w:line="360" w:lineRule="auto"/>
        <w:ind w:firstLine="420" w:firstLineChars="200"/>
        <w:rPr>
          <w:rFonts w:ascii="宋体" w:hAnsi="宋体"/>
          <w:color w:val="000000"/>
          <w:highlight w:val="none"/>
          <w:lang w:bidi="en-US"/>
        </w:rPr>
      </w:pPr>
      <w:bookmarkStart w:id="6" w:name="OLE_LINK27"/>
      <w:r>
        <w:rPr>
          <w:rFonts w:hint="eastAsia" w:ascii="宋体" w:hAnsi="宋体"/>
          <w:color w:val="000000"/>
          <w:highlight w:val="none"/>
          <w:lang w:bidi="en-US"/>
        </w:rPr>
        <w:t>等离子体热负荷测试平台</w:t>
      </w:r>
      <w:bookmarkEnd w:id="6"/>
      <w:r>
        <w:rPr>
          <w:rFonts w:hint="eastAsia" w:ascii="宋体" w:hAnsi="宋体"/>
          <w:color w:val="000000"/>
          <w:highlight w:val="none"/>
          <w:lang w:bidi="en-US"/>
        </w:rPr>
        <w:t>，主要用于模拟装置中的高热负荷环境，测试小型高热负荷部件在极端热负荷条件下的性能，对其稳定运行的边界条件进行探索和实验研究。该测试平台包括以下子系统：</w:t>
      </w:r>
      <w:bookmarkStart w:id="7" w:name="OLE_LINK26"/>
      <w:r>
        <w:rPr>
          <w:rFonts w:hint="eastAsia" w:ascii="宋体" w:hAnsi="宋体"/>
          <w:color w:val="000000"/>
          <w:highlight w:val="none"/>
          <w:lang w:bidi="en-US"/>
        </w:rPr>
        <w:t>供气系统、供水系统、等离子体发生器及实验腔室、控制与数据采集系统、尾气处理系统、危险气体侦测与报警系统、钢平台等子系统，用于开展等离子体热负荷测试等试验任务。平台全部设备须在我方指定地点成套供货、集成、安装调试，满足现场运行使用条件。</w:t>
      </w:r>
      <w:bookmarkEnd w:id="7"/>
    </w:p>
    <w:p w14:paraId="6C05E470">
      <w:pPr>
        <w:widowControl/>
        <w:adjustRightInd w:val="0"/>
        <w:snapToGrid w:val="0"/>
        <w:spacing w:before="156" w:beforeLines="65" w:after="156" w:afterLines="65"/>
        <w:outlineLvl w:val="2"/>
        <w:rPr>
          <w:b/>
          <w:color w:val="000000"/>
          <w:sz w:val="24"/>
          <w:highlight w:val="none"/>
        </w:rPr>
      </w:pPr>
      <w:r>
        <w:rPr>
          <w:rFonts w:hint="eastAsia"/>
          <w:b/>
          <w:color w:val="000000"/>
          <w:sz w:val="24"/>
          <w:highlight w:val="none"/>
        </w:rPr>
        <w:t>2</w:t>
      </w:r>
      <w:r>
        <w:rPr>
          <w:b/>
          <w:color w:val="000000"/>
          <w:sz w:val="24"/>
          <w:highlight w:val="none"/>
        </w:rPr>
        <w:t xml:space="preserve">.2 </w:t>
      </w:r>
      <w:r>
        <w:rPr>
          <w:rFonts w:hint="eastAsia"/>
          <w:b/>
          <w:color w:val="000000"/>
          <w:sz w:val="24"/>
          <w:highlight w:val="none"/>
        </w:rPr>
        <w:t>总体要求</w:t>
      </w:r>
    </w:p>
    <w:p w14:paraId="0825CBB1">
      <w:pPr>
        <w:spacing w:after="120" w:line="360" w:lineRule="auto"/>
        <w:ind w:firstLine="420" w:firstLineChars="200"/>
        <w:rPr>
          <w:rFonts w:ascii="宋体" w:hAnsi="宋体"/>
          <w:color w:val="000000"/>
          <w:highlight w:val="none"/>
          <w:lang w:bidi="en-US"/>
        </w:rPr>
      </w:pPr>
      <w:r>
        <w:rPr>
          <w:rFonts w:hint="eastAsia" w:ascii="宋体" w:hAnsi="宋体"/>
          <w:color w:val="000000"/>
          <w:highlight w:val="none"/>
          <w:lang w:bidi="en-US"/>
        </w:rPr>
        <w:t>实验用气（氩气、氮气、氢气、压缩空气、甲烷、二氧化碳等）总管接入，经分配、过滤、缓冲后进入等离子体发生器及实验腔室产生高温气流，经旋风分离、保温及料封、布袋除尘、尾气净化处理装置处理后达标排放。系统配套软水（工艺水）循环、灰水收集与排放、排空与循环等辅助流程，实现完整的等离子体热负荷工艺循环。</w:t>
      </w:r>
    </w:p>
    <w:p w14:paraId="5B163083">
      <w:pPr>
        <w:spacing w:after="120" w:line="360" w:lineRule="auto"/>
        <w:ind w:firstLine="420" w:firstLineChars="200"/>
        <w:rPr>
          <w:rFonts w:ascii="宋体" w:hAnsi="宋体"/>
          <w:color w:val="000000"/>
          <w:highlight w:val="none"/>
          <w:lang w:bidi="en-US"/>
        </w:rPr>
      </w:pPr>
      <w:r>
        <w:rPr>
          <w:rFonts w:hint="eastAsia" w:ascii="宋体" w:hAnsi="宋体"/>
          <w:color w:val="000000"/>
          <w:highlight w:val="none"/>
          <w:lang w:bidi="en-US"/>
        </w:rPr>
        <w:t>（1）供应商需在投标文件中提供详细的工艺流程图。成套集成，设备布局、管线走向与工艺流程保持一致，各子系统接口匹配，可实现整套装置联动运行。</w:t>
      </w:r>
    </w:p>
    <w:p w14:paraId="044C8B23">
      <w:pPr>
        <w:spacing w:after="120" w:line="360" w:lineRule="auto"/>
        <w:ind w:firstLine="420" w:firstLineChars="200"/>
        <w:rPr>
          <w:rFonts w:ascii="宋体" w:hAnsi="宋体"/>
          <w:color w:val="000000"/>
          <w:highlight w:val="none"/>
          <w:lang w:bidi="en-US"/>
        </w:rPr>
      </w:pPr>
      <w:r>
        <w:rPr>
          <w:rFonts w:hint="eastAsia" w:ascii="宋体" w:hAnsi="宋体"/>
          <w:color w:val="000000"/>
          <w:highlight w:val="none"/>
          <w:lang w:bidi="en-US"/>
        </w:rPr>
        <w:t>（</w:t>
      </w:r>
      <w:r>
        <w:rPr>
          <w:rFonts w:ascii="宋体" w:hAnsi="宋体"/>
          <w:color w:val="000000"/>
          <w:highlight w:val="none"/>
          <w:lang w:bidi="en-US"/>
        </w:rPr>
        <w:t>2）平台应支持等离子体热负荷测试等试验任务，满足连续及间歇试验工况。</w:t>
      </w:r>
    </w:p>
    <w:p w14:paraId="7F9221DA">
      <w:pPr>
        <w:spacing w:after="120" w:line="360" w:lineRule="auto"/>
        <w:ind w:firstLine="420" w:firstLineChars="200"/>
        <w:rPr>
          <w:rFonts w:ascii="宋体" w:hAnsi="宋体"/>
          <w:color w:val="000000"/>
          <w:highlight w:val="none"/>
          <w:lang w:bidi="en-US"/>
        </w:rPr>
      </w:pPr>
      <w:r>
        <w:rPr>
          <w:rFonts w:hint="eastAsia" w:ascii="宋体" w:hAnsi="宋体"/>
          <w:color w:val="000000"/>
          <w:highlight w:val="none"/>
          <w:lang w:bidi="en-US"/>
        </w:rPr>
        <w:t>（</w:t>
      </w:r>
      <w:r>
        <w:rPr>
          <w:rFonts w:ascii="宋体" w:hAnsi="宋体"/>
          <w:color w:val="000000"/>
          <w:highlight w:val="none"/>
          <w:lang w:bidi="en-US"/>
        </w:rPr>
        <w:t>3）所有承压设备、压力容器、泵阀、仪表及钢材的选型、设计、制造、检验应符合国家现行标准及规范。</w:t>
      </w:r>
    </w:p>
    <w:p w14:paraId="35D5E2D9">
      <w:pPr>
        <w:spacing w:after="120" w:line="360" w:lineRule="auto"/>
        <w:ind w:firstLine="420" w:firstLineChars="200"/>
        <w:rPr>
          <w:rFonts w:ascii="宋体" w:hAnsi="宋体"/>
          <w:color w:val="000000"/>
          <w:highlight w:val="none"/>
          <w:lang w:bidi="en-US"/>
        </w:rPr>
      </w:pPr>
      <w:r>
        <w:rPr>
          <w:rFonts w:hint="eastAsia" w:ascii="宋体" w:hAnsi="宋体"/>
          <w:color w:val="000000"/>
          <w:highlight w:val="none"/>
          <w:lang w:bidi="en-US"/>
        </w:rPr>
        <w:t>（</w:t>
      </w:r>
      <w:r>
        <w:rPr>
          <w:rFonts w:ascii="宋体" w:hAnsi="宋体"/>
          <w:color w:val="000000"/>
          <w:highlight w:val="none"/>
          <w:lang w:bidi="en-US"/>
        </w:rPr>
        <w:t>4）系统应具备安全联锁保护功能，在超温、超压、气体泄漏、断水等异常工况下实现报警与保护动作，保障试验现场安全。</w:t>
      </w:r>
    </w:p>
    <w:p w14:paraId="19516BC8">
      <w:pPr>
        <w:adjustRightInd w:val="0"/>
        <w:snapToGrid w:val="0"/>
        <w:spacing w:before="120" w:beforeLines="50" w:line="360" w:lineRule="auto"/>
        <w:rPr>
          <w:b/>
          <w:color w:val="000000"/>
          <w:sz w:val="24"/>
          <w:highlight w:val="none"/>
        </w:rPr>
      </w:pPr>
      <w:r>
        <w:rPr>
          <w:b/>
          <w:color w:val="000000"/>
          <w:sz w:val="24"/>
          <w:highlight w:val="none"/>
        </w:rPr>
        <w:t>2.3</w:t>
      </w:r>
      <w:r>
        <w:rPr>
          <w:rFonts w:hint="eastAsia"/>
          <w:b/>
          <w:color w:val="000000"/>
          <w:sz w:val="24"/>
          <w:highlight w:val="none"/>
        </w:rPr>
        <w:t xml:space="preserve">、 </w:t>
      </w:r>
      <w:r>
        <w:rPr>
          <w:b/>
          <w:color w:val="000000"/>
          <w:sz w:val="24"/>
          <w:highlight w:val="none"/>
        </w:rPr>
        <w:t>工作条件</w:t>
      </w:r>
    </w:p>
    <w:p w14:paraId="04EC30B8">
      <w:pPr>
        <w:spacing w:line="360" w:lineRule="auto"/>
        <w:ind w:firstLine="525" w:firstLineChars="250"/>
        <w:rPr>
          <w:bCs/>
          <w:color w:val="000000"/>
          <w:highlight w:val="none"/>
        </w:rPr>
      </w:pPr>
      <w:r>
        <w:rPr>
          <w:bCs/>
          <w:color w:val="000000"/>
          <w:highlight w:val="none"/>
        </w:rPr>
        <w:t>热</w:t>
      </w:r>
      <w:r>
        <w:rPr>
          <w:rFonts w:hint="eastAsia"/>
          <w:bCs/>
          <w:color w:val="000000"/>
          <w:highlight w:val="none"/>
        </w:rPr>
        <w:t>负荷测试平台</w:t>
      </w:r>
      <w:r>
        <w:rPr>
          <w:bCs/>
          <w:color w:val="000000"/>
          <w:highlight w:val="none"/>
        </w:rPr>
        <w:t>的工作条件需围绕设备运行安全、工艺保障设定，涵盖环境条件、供气 / 供水等公用工程条件、负载条件及操作运维基础条件。除非在技术规格中另有说明，所有仪器、设备和系统都应符合下列要求：</w:t>
      </w:r>
    </w:p>
    <w:p w14:paraId="6AEF5798">
      <w:pPr>
        <w:spacing w:line="360" w:lineRule="auto"/>
        <w:ind w:firstLine="315" w:firstLineChars="150"/>
        <w:rPr>
          <w:bCs/>
          <w:color w:val="000000"/>
          <w:highlight w:val="none"/>
        </w:rPr>
      </w:pPr>
      <w:r>
        <w:rPr>
          <w:bCs/>
          <w:color w:val="000000"/>
          <w:highlight w:val="none"/>
        </w:rPr>
        <w:t>2.</w:t>
      </w:r>
      <w:r>
        <w:rPr>
          <w:rFonts w:hint="eastAsia"/>
          <w:bCs/>
          <w:color w:val="000000"/>
          <w:highlight w:val="none"/>
        </w:rPr>
        <w:t>3</w:t>
      </w:r>
      <w:r>
        <w:rPr>
          <w:bCs/>
          <w:color w:val="000000"/>
          <w:highlight w:val="none"/>
        </w:rPr>
        <w:t>.1环境工作条件：核心要求为干燥、通风</w:t>
      </w:r>
      <w:r>
        <w:rPr>
          <w:rFonts w:hint="eastAsia"/>
          <w:bCs/>
          <w:color w:val="000000"/>
          <w:highlight w:val="none"/>
        </w:rPr>
        <w:t>、</w:t>
      </w:r>
      <w:r>
        <w:rPr>
          <w:bCs/>
          <w:color w:val="000000"/>
          <w:highlight w:val="none"/>
        </w:rPr>
        <w:t>温湿度稳定，避免环境因素导致</w:t>
      </w:r>
      <w:r>
        <w:rPr>
          <w:rFonts w:hint="eastAsia"/>
          <w:bCs/>
          <w:color w:val="000000"/>
          <w:highlight w:val="none"/>
        </w:rPr>
        <w:t>热负荷测试平台</w:t>
      </w:r>
      <w:r>
        <w:rPr>
          <w:bCs/>
          <w:color w:val="000000"/>
          <w:highlight w:val="none"/>
        </w:rPr>
        <w:t>腐蚀、电气故障、温控偏差。</w:t>
      </w:r>
    </w:p>
    <w:p w14:paraId="5B7BC328">
      <w:pPr>
        <w:spacing w:line="360" w:lineRule="auto"/>
        <w:ind w:firstLine="315" w:firstLineChars="150"/>
        <w:rPr>
          <w:bCs/>
          <w:color w:val="000000"/>
          <w:highlight w:val="none"/>
        </w:rPr>
      </w:pPr>
      <w:r>
        <w:rPr>
          <w:bCs/>
          <w:color w:val="000000"/>
          <w:highlight w:val="none"/>
        </w:rPr>
        <w:t>2.</w:t>
      </w:r>
      <w:r>
        <w:rPr>
          <w:rFonts w:hint="eastAsia"/>
          <w:bCs/>
          <w:color w:val="000000"/>
          <w:highlight w:val="none"/>
        </w:rPr>
        <w:t>3</w:t>
      </w:r>
      <w:r>
        <w:rPr>
          <w:bCs/>
          <w:color w:val="000000"/>
          <w:highlight w:val="none"/>
        </w:rPr>
        <w:t>.2 冷却介质条件</w:t>
      </w:r>
    </w:p>
    <w:p w14:paraId="31A4BD80">
      <w:pPr>
        <w:spacing w:line="360" w:lineRule="auto"/>
        <w:ind w:firstLine="315" w:firstLineChars="150"/>
        <w:rPr>
          <w:bCs/>
          <w:color w:val="000000"/>
          <w:highlight w:val="none"/>
        </w:rPr>
      </w:pPr>
      <w:r>
        <w:rPr>
          <w:bCs/>
          <w:color w:val="000000"/>
          <w:highlight w:val="none"/>
        </w:rPr>
        <w:t>水冷系统-水质： 去离子水（避免钙镁离子结垢堵塞管路），电</w:t>
      </w:r>
      <w:r>
        <w:rPr>
          <w:rFonts w:hint="eastAsia"/>
          <w:bCs/>
          <w:color w:val="000000"/>
          <w:highlight w:val="none"/>
        </w:rPr>
        <w:t>导</w:t>
      </w:r>
      <w:r>
        <w:rPr>
          <w:bCs/>
          <w:color w:val="000000"/>
          <w:highlight w:val="none"/>
        </w:rPr>
        <w:t>率</w:t>
      </w:r>
      <w:r>
        <w:rPr>
          <w:rFonts w:hint="eastAsia" w:ascii="宋体" w:hAnsi="宋体"/>
          <w:bCs/>
          <w:color w:val="000000"/>
          <w:highlight w:val="none"/>
        </w:rPr>
        <w:t>≤</w:t>
      </w:r>
      <w:r>
        <w:rPr>
          <w:bCs/>
          <w:color w:val="000000"/>
          <w:highlight w:val="none"/>
        </w:rPr>
        <w:t>5</w:t>
      </w:r>
      <w:r>
        <w:rPr>
          <w:rFonts w:hint="eastAsia"/>
          <w:bCs/>
          <w:color w:val="000000"/>
          <w:highlight w:val="none"/>
        </w:rPr>
        <w:t>μS/</w:t>
      </w:r>
      <w:r>
        <w:rPr>
          <w:bCs/>
          <w:color w:val="000000"/>
          <w:highlight w:val="none"/>
        </w:rPr>
        <w:t>cm，严禁断水。</w:t>
      </w:r>
    </w:p>
    <w:p w14:paraId="4737E4E2">
      <w:pPr>
        <w:spacing w:line="360" w:lineRule="auto"/>
        <w:ind w:firstLine="315" w:firstLineChars="150"/>
        <w:rPr>
          <w:bCs/>
          <w:color w:val="000000"/>
          <w:highlight w:val="none"/>
        </w:rPr>
      </w:pPr>
      <w:r>
        <w:rPr>
          <w:bCs/>
          <w:color w:val="000000"/>
          <w:highlight w:val="none"/>
        </w:rPr>
        <w:t>2.</w:t>
      </w:r>
      <w:r>
        <w:rPr>
          <w:rFonts w:hint="eastAsia"/>
          <w:bCs/>
          <w:color w:val="000000"/>
          <w:highlight w:val="none"/>
        </w:rPr>
        <w:t>3</w:t>
      </w:r>
      <w:r>
        <w:rPr>
          <w:bCs/>
          <w:color w:val="000000"/>
          <w:highlight w:val="none"/>
        </w:rPr>
        <w:t>.</w:t>
      </w:r>
      <w:r>
        <w:rPr>
          <w:rFonts w:hint="eastAsia"/>
          <w:bCs/>
          <w:color w:val="000000"/>
          <w:highlight w:val="none"/>
        </w:rPr>
        <w:t>3</w:t>
      </w:r>
      <w:r>
        <w:rPr>
          <w:bCs/>
          <w:color w:val="000000"/>
          <w:highlight w:val="none"/>
        </w:rPr>
        <w:t>海拔高度：&lt;1000米，地震烈度：&lt;4级，最大风速：&lt;34m/</w:t>
      </w:r>
      <w:r>
        <w:rPr>
          <w:rFonts w:hint="eastAsia"/>
          <w:bCs/>
          <w:color w:val="000000"/>
          <w:highlight w:val="none"/>
        </w:rPr>
        <w:t>s</w:t>
      </w:r>
      <w:r>
        <w:rPr>
          <w:bCs/>
          <w:color w:val="000000"/>
          <w:highlight w:val="none"/>
        </w:rPr>
        <w:t>，可满足户内安装。</w:t>
      </w:r>
    </w:p>
    <w:p w14:paraId="4A458D47">
      <w:pPr>
        <w:spacing w:line="360" w:lineRule="auto"/>
        <w:ind w:firstLine="315" w:firstLineChars="150"/>
        <w:rPr>
          <w:rFonts w:hint="eastAsia"/>
          <w:bCs/>
          <w:color w:val="000000"/>
          <w:highlight w:val="none"/>
        </w:rPr>
      </w:pPr>
      <w:r>
        <w:rPr>
          <w:bCs/>
          <w:color w:val="000000"/>
          <w:highlight w:val="none"/>
        </w:rPr>
        <w:t>2.</w:t>
      </w:r>
      <w:r>
        <w:rPr>
          <w:rFonts w:hint="eastAsia"/>
          <w:bCs/>
          <w:color w:val="000000"/>
          <w:highlight w:val="none"/>
        </w:rPr>
        <w:t>3</w:t>
      </w:r>
      <w:r>
        <w:rPr>
          <w:bCs/>
          <w:color w:val="000000"/>
          <w:highlight w:val="none"/>
        </w:rPr>
        <w:t>.</w:t>
      </w:r>
      <w:r>
        <w:rPr>
          <w:rFonts w:hint="eastAsia"/>
          <w:bCs/>
          <w:color w:val="000000"/>
          <w:highlight w:val="none"/>
        </w:rPr>
        <w:t>4</w:t>
      </w:r>
      <w:r>
        <w:rPr>
          <w:bCs/>
          <w:color w:val="000000"/>
          <w:highlight w:val="none"/>
        </w:rPr>
        <w:t>适于在气温5℃～40℃和相对湿度85％的环境条件下连续运行。</w:t>
      </w:r>
    </w:p>
    <w:p w14:paraId="6FA8A446">
      <w:pPr>
        <w:adjustRightInd w:val="0"/>
        <w:snapToGrid w:val="0"/>
        <w:spacing w:before="120" w:beforeLines="50" w:line="360" w:lineRule="auto"/>
        <w:rPr>
          <w:b/>
          <w:color w:val="000000"/>
          <w:sz w:val="24"/>
          <w:highlight w:val="none"/>
        </w:rPr>
      </w:pPr>
      <w:r>
        <w:rPr>
          <w:b/>
          <w:color w:val="000000"/>
          <w:sz w:val="24"/>
          <w:highlight w:val="none"/>
        </w:rPr>
        <w:t>2.4</w:t>
      </w:r>
      <w:r>
        <w:rPr>
          <w:rFonts w:hint="eastAsia"/>
          <w:b/>
          <w:color w:val="000000"/>
          <w:sz w:val="24"/>
          <w:highlight w:val="none"/>
        </w:rPr>
        <w:t>、</w:t>
      </w:r>
      <w:r>
        <w:rPr>
          <w:b/>
          <w:color w:val="000000"/>
          <w:sz w:val="24"/>
          <w:highlight w:val="none"/>
        </w:rPr>
        <w:t xml:space="preserve"> 技术性能指标要求</w:t>
      </w:r>
    </w:p>
    <w:p w14:paraId="223DDF3D">
      <w:pPr>
        <w:widowControl/>
        <w:adjustRightInd w:val="0"/>
        <w:snapToGrid w:val="0"/>
        <w:spacing w:line="360" w:lineRule="auto"/>
        <w:ind w:firstLine="420" w:firstLineChars="200"/>
        <w:rPr>
          <w:rFonts w:ascii="宋体" w:hAnsi="宋体"/>
          <w:color w:val="000000"/>
          <w:highlight w:val="none"/>
          <w:lang w:bidi="en-US"/>
        </w:rPr>
      </w:pPr>
      <w:r>
        <w:rPr>
          <w:rFonts w:hint="eastAsia" w:ascii="宋体" w:hAnsi="宋体"/>
          <w:color w:val="000000"/>
          <w:highlight w:val="none"/>
          <w:lang w:bidi="en-US"/>
        </w:rPr>
        <w:t>各分系统的组成与参数应不低于下表及本文件相关条款的规定：</w:t>
      </w:r>
    </w:p>
    <w:p w14:paraId="48D9B034">
      <w:pPr>
        <w:widowControl/>
        <w:adjustRightInd w:val="0"/>
        <w:snapToGrid w:val="0"/>
        <w:spacing w:after="120"/>
        <w:jc w:val="center"/>
        <w:rPr>
          <w:rFonts w:hint="eastAsia" w:ascii="Cambria" w:hAnsi="Cambria" w:eastAsia="MS Mincho"/>
          <w:color w:val="000000"/>
          <w:kern w:val="0"/>
          <w:sz w:val="22"/>
          <w:highlight w:val="none"/>
        </w:rPr>
      </w:pPr>
      <w:r>
        <w:rPr>
          <w:rFonts w:hint="eastAsia" w:ascii="Arial" w:hAnsi="Arial"/>
          <w:color w:val="000000"/>
          <w:kern w:val="0"/>
          <w:highlight w:val="none"/>
        </w:rPr>
        <w:t>表</w:t>
      </w:r>
      <w:r>
        <w:rPr>
          <w:rFonts w:ascii="Arial" w:hAnsi="Arial"/>
          <w:color w:val="000000"/>
          <w:kern w:val="0"/>
          <w:highlight w:val="none"/>
        </w:rPr>
        <w:t xml:space="preserve">1  </w:t>
      </w:r>
      <w:r>
        <w:rPr>
          <w:rFonts w:hint="eastAsia" w:ascii="Arial" w:hAnsi="Arial"/>
          <w:color w:val="000000"/>
          <w:kern w:val="0"/>
          <w:highlight w:val="none"/>
        </w:rPr>
        <w:t>分系统设备组成及主要参数一览表</w:t>
      </w:r>
    </w:p>
    <w:tbl>
      <w:tblPr>
        <w:tblStyle w:val="4"/>
        <w:tblW w:w="0" w:type="auto"/>
        <w:jc w:val="center"/>
        <w:tblBorders>
          <w:top w:val="single" w:color="000000" w:sz="8" w:space="0"/>
          <w:left w:val="single" w:color="000000" w:sz="4" w:space="0"/>
          <w:bottom w:val="single" w:color="000000" w:sz="8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1"/>
        <w:gridCol w:w="682"/>
        <w:gridCol w:w="6229"/>
      </w:tblGrid>
      <w:tr w14:paraId="5E4B6CB1">
        <w:tblPrEx>
          <w:tblBorders>
            <w:top w:val="single" w:color="000000" w:sz="8" w:space="0"/>
            <w:left w:val="single" w:color="000000" w:sz="4" w:space="0"/>
            <w:bottom w:val="single" w:color="000000" w:sz="8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734" w:type="dxa"/>
            <w:shd w:val="clear" w:color="auto" w:fill="D9D9D9"/>
            <w:noWrap w:val="0"/>
            <w:vAlign w:val="center"/>
          </w:tcPr>
          <w:p w14:paraId="3F22B259">
            <w:pPr>
              <w:widowControl/>
              <w:adjustRightInd w:val="0"/>
              <w:snapToGrid w:val="0"/>
              <w:spacing w:before="48" w:beforeLines="20" w:line="300" w:lineRule="auto"/>
              <w:jc w:val="center"/>
              <w:rPr>
                <w:rFonts w:ascii="Cambria" w:hAnsi="Cambria" w:eastAsia="MS Mincho"/>
                <w:color w:val="000000"/>
                <w:kern w:val="0"/>
                <w:sz w:val="22"/>
                <w:highlight w:val="none"/>
                <w:lang w:eastAsia="en-US"/>
              </w:rPr>
            </w:pPr>
            <w:r>
              <w:rPr>
                <w:rFonts w:ascii="Arial" w:hAnsi="Arial"/>
                <w:b/>
                <w:color w:val="000000"/>
                <w:kern w:val="0"/>
                <w:highlight w:val="none"/>
                <w:lang w:eastAsia="en-US"/>
              </w:rPr>
              <w:t>系统名称</w:t>
            </w:r>
          </w:p>
        </w:tc>
        <w:tc>
          <w:tcPr>
            <w:tcW w:w="709" w:type="dxa"/>
            <w:shd w:val="clear" w:color="auto" w:fill="D9D9D9"/>
            <w:noWrap w:val="0"/>
            <w:vAlign w:val="center"/>
          </w:tcPr>
          <w:p w14:paraId="64DC611F">
            <w:pPr>
              <w:widowControl/>
              <w:adjustRightInd w:val="0"/>
              <w:snapToGrid w:val="0"/>
              <w:spacing w:before="48" w:beforeLines="20" w:line="300" w:lineRule="auto"/>
              <w:jc w:val="center"/>
              <w:rPr>
                <w:rFonts w:ascii="Cambria" w:hAnsi="Cambria" w:eastAsia="MS Mincho"/>
                <w:color w:val="000000"/>
                <w:kern w:val="0"/>
                <w:sz w:val="22"/>
                <w:highlight w:val="none"/>
                <w:lang w:eastAsia="en-US"/>
              </w:rPr>
            </w:pPr>
            <w:r>
              <w:rPr>
                <w:rFonts w:ascii="Arial" w:hAnsi="Arial"/>
                <w:b/>
                <w:color w:val="000000"/>
                <w:kern w:val="0"/>
                <w:highlight w:val="none"/>
                <w:lang w:eastAsia="en-US"/>
              </w:rPr>
              <w:t>数量</w:t>
            </w:r>
          </w:p>
        </w:tc>
        <w:tc>
          <w:tcPr>
            <w:tcW w:w="6716" w:type="dxa"/>
            <w:shd w:val="clear" w:color="auto" w:fill="D9D9D9"/>
            <w:noWrap w:val="0"/>
            <w:vAlign w:val="center"/>
          </w:tcPr>
          <w:p w14:paraId="6D060BBA">
            <w:pPr>
              <w:widowControl/>
              <w:adjustRightInd w:val="0"/>
              <w:snapToGrid w:val="0"/>
              <w:spacing w:before="48" w:beforeLines="20" w:line="300" w:lineRule="auto"/>
              <w:jc w:val="center"/>
              <w:rPr>
                <w:rFonts w:ascii="Cambria" w:hAnsi="Cambria" w:eastAsia="MS Mincho"/>
                <w:color w:val="000000"/>
                <w:kern w:val="0"/>
                <w:sz w:val="22"/>
                <w:highlight w:val="none"/>
                <w:lang w:eastAsia="en-US"/>
              </w:rPr>
            </w:pPr>
            <w:r>
              <w:rPr>
                <w:rFonts w:ascii="Arial" w:hAnsi="Arial"/>
                <w:b/>
                <w:color w:val="000000"/>
                <w:kern w:val="0"/>
                <w:highlight w:val="none"/>
                <w:lang w:eastAsia="en-US"/>
              </w:rPr>
              <w:t>主要组成及规格要求</w:t>
            </w:r>
          </w:p>
        </w:tc>
      </w:tr>
      <w:tr w14:paraId="5903BC00">
        <w:tblPrEx>
          <w:tblBorders>
            <w:top w:val="single" w:color="000000" w:sz="8" w:space="0"/>
            <w:left w:val="single" w:color="000000" w:sz="4" w:space="0"/>
            <w:bottom w:val="single" w:color="000000" w:sz="8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4" w:type="dxa"/>
            <w:noWrap w:val="0"/>
            <w:vAlign w:val="center"/>
          </w:tcPr>
          <w:p w14:paraId="200A3CFD">
            <w:pPr>
              <w:widowControl/>
              <w:adjustRightInd w:val="0"/>
              <w:snapToGrid w:val="0"/>
              <w:spacing w:before="48" w:beforeLines="20" w:line="300" w:lineRule="auto"/>
              <w:jc w:val="center"/>
              <w:rPr>
                <w:rFonts w:ascii="Cambria" w:hAnsi="Cambria" w:eastAsia="MS Mincho"/>
                <w:color w:val="000000"/>
                <w:kern w:val="0"/>
                <w:sz w:val="22"/>
                <w:highlight w:val="none"/>
                <w:lang w:eastAsia="en-US"/>
              </w:rPr>
            </w:pPr>
            <w:r>
              <w:rPr>
                <w:rFonts w:ascii="Arial" w:hAnsi="Arial"/>
                <w:color w:val="000000"/>
                <w:kern w:val="0"/>
                <w:highlight w:val="none"/>
                <w:lang w:eastAsia="en-US"/>
              </w:rPr>
              <w:t>供气系统</w:t>
            </w:r>
          </w:p>
        </w:tc>
        <w:tc>
          <w:tcPr>
            <w:tcW w:w="709" w:type="dxa"/>
            <w:noWrap w:val="0"/>
            <w:vAlign w:val="center"/>
          </w:tcPr>
          <w:p w14:paraId="73635456">
            <w:pPr>
              <w:widowControl/>
              <w:adjustRightInd w:val="0"/>
              <w:snapToGrid w:val="0"/>
              <w:spacing w:before="48" w:beforeLines="20" w:line="300" w:lineRule="auto"/>
              <w:jc w:val="center"/>
              <w:rPr>
                <w:rFonts w:ascii="Cambria" w:hAnsi="Cambria" w:eastAsia="MS Mincho"/>
                <w:color w:val="000000"/>
                <w:kern w:val="0"/>
                <w:sz w:val="22"/>
                <w:highlight w:val="none"/>
                <w:lang w:eastAsia="en-US"/>
              </w:rPr>
            </w:pPr>
            <w:r>
              <w:rPr>
                <w:rFonts w:ascii="Arial" w:hAnsi="Arial"/>
                <w:color w:val="000000"/>
                <w:kern w:val="0"/>
                <w:highlight w:val="none"/>
                <w:lang w:eastAsia="en-US"/>
              </w:rPr>
              <w:t>1套</w:t>
            </w:r>
          </w:p>
        </w:tc>
        <w:tc>
          <w:tcPr>
            <w:tcW w:w="6716" w:type="dxa"/>
            <w:noWrap w:val="0"/>
            <w:vAlign w:val="center"/>
          </w:tcPr>
          <w:p w14:paraId="32DC1E1B">
            <w:pPr>
              <w:widowControl/>
              <w:adjustRightInd w:val="0"/>
              <w:snapToGrid w:val="0"/>
              <w:spacing w:before="48" w:beforeLines="20" w:line="300" w:lineRule="auto"/>
              <w:jc w:val="left"/>
              <w:rPr>
                <w:rFonts w:ascii="Cambria" w:hAnsi="Cambria" w:eastAsia="MS Mincho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Arial" w:hAnsi="Arial"/>
                <w:color w:val="000000"/>
                <w:kern w:val="0"/>
                <w:highlight w:val="none"/>
              </w:rPr>
              <w:t>分配台4个（不锈钢）；缓冲罐</w:t>
            </w:r>
            <w:r>
              <w:rPr>
                <w:rFonts w:hint="eastAsia" w:ascii="Arial" w:hAnsi="Arial"/>
                <w:color w:val="000000"/>
                <w:kern w:val="0"/>
                <w:highlight w:val="none"/>
              </w:rPr>
              <w:t>4</w:t>
            </w:r>
            <w:r>
              <w:rPr>
                <w:rFonts w:ascii="Arial" w:hAnsi="Arial"/>
                <w:color w:val="000000"/>
                <w:kern w:val="0"/>
                <w:highlight w:val="none"/>
              </w:rPr>
              <w:t>个（氩气0.1m³、不锈钢1个；</w:t>
            </w:r>
            <w:bookmarkStart w:id="8" w:name="OLE_LINK15"/>
            <w:r>
              <w:rPr>
                <w:rFonts w:ascii="Arial" w:hAnsi="Arial"/>
                <w:color w:val="000000"/>
                <w:kern w:val="0"/>
                <w:highlight w:val="none"/>
              </w:rPr>
              <w:t>氮气0.3m³、</w:t>
            </w:r>
            <w:r>
              <w:rPr>
                <w:rFonts w:hint="eastAsia" w:ascii="Arial" w:hAnsi="Arial"/>
                <w:color w:val="000000"/>
                <w:kern w:val="0"/>
                <w:highlight w:val="none"/>
              </w:rPr>
              <w:t>不锈钢</w:t>
            </w:r>
            <w:r>
              <w:rPr>
                <w:rFonts w:ascii="Arial" w:hAnsi="Arial"/>
                <w:color w:val="000000"/>
                <w:kern w:val="0"/>
                <w:highlight w:val="none"/>
              </w:rPr>
              <w:t>1个</w:t>
            </w:r>
            <w:bookmarkEnd w:id="8"/>
            <w:r>
              <w:rPr>
                <w:rFonts w:hint="eastAsia" w:ascii="Arial" w:hAnsi="Arial"/>
                <w:color w:val="000000"/>
                <w:kern w:val="0"/>
                <w:highlight w:val="none"/>
              </w:rPr>
              <w:t>；</w:t>
            </w:r>
            <w:bookmarkStart w:id="9" w:name="OLE_LINK16"/>
            <w:r>
              <w:rPr>
                <w:rFonts w:hint="eastAsia" w:ascii="Arial" w:hAnsi="Arial"/>
                <w:color w:val="000000"/>
                <w:kern w:val="0"/>
                <w:highlight w:val="none"/>
              </w:rPr>
              <w:t>二氧化碳0.3m³、不锈钢1个；空气0.1m³</w:t>
            </w:r>
            <w:bookmarkEnd w:id="9"/>
            <w:r>
              <w:rPr>
                <w:rFonts w:hint="eastAsia" w:ascii="Arial" w:hAnsi="Arial"/>
                <w:color w:val="000000"/>
                <w:kern w:val="0"/>
                <w:highlight w:val="none"/>
              </w:rPr>
              <w:t>、不锈钢1个</w:t>
            </w:r>
            <w:r>
              <w:rPr>
                <w:rFonts w:ascii="Arial" w:hAnsi="Arial"/>
                <w:color w:val="000000"/>
                <w:kern w:val="0"/>
                <w:highlight w:val="none"/>
              </w:rPr>
              <w:t>）；气瓶、管路、阀门等。</w:t>
            </w:r>
          </w:p>
        </w:tc>
      </w:tr>
      <w:tr w14:paraId="363914F0">
        <w:tblPrEx>
          <w:tblBorders>
            <w:top w:val="single" w:color="000000" w:sz="8" w:space="0"/>
            <w:left w:val="single" w:color="000000" w:sz="4" w:space="0"/>
            <w:bottom w:val="single" w:color="000000" w:sz="8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4" w:type="dxa"/>
            <w:noWrap w:val="0"/>
            <w:vAlign w:val="center"/>
          </w:tcPr>
          <w:p w14:paraId="38811970">
            <w:pPr>
              <w:widowControl/>
              <w:adjustRightInd w:val="0"/>
              <w:snapToGrid w:val="0"/>
              <w:spacing w:before="48" w:beforeLines="20" w:line="300" w:lineRule="auto"/>
              <w:jc w:val="center"/>
              <w:rPr>
                <w:rFonts w:ascii="Cambria" w:hAnsi="Cambria" w:eastAsia="MS Mincho"/>
                <w:color w:val="000000"/>
                <w:kern w:val="0"/>
                <w:sz w:val="22"/>
                <w:highlight w:val="none"/>
                <w:lang w:eastAsia="en-US"/>
              </w:rPr>
            </w:pPr>
            <w:r>
              <w:rPr>
                <w:rFonts w:ascii="Arial" w:hAnsi="Arial"/>
                <w:color w:val="000000"/>
                <w:kern w:val="0"/>
                <w:highlight w:val="none"/>
                <w:lang w:eastAsia="en-US"/>
              </w:rPr>
              <w:t>供水系统</w:t>
            </w:r>
          </w:p>
        </w:tc>
        <w:tc>
          <w:tcPr>
            <w:tcW w:w="709" w:type="dxa"/>
            <w:noWrap w:val="0"/>
            <w:vAlign w:val="center"/>
          </w:tcPr>
          <w:p w14:paraId="0A0F05BF">
            <w:pPr>
              <w:widowControl/>
              <w:adjustRightInd w:val="0"/>
              <w:snapToGrid w:val="0"/>
              <w:spacing w:before="48" w:beforeLines="20" w:line="300" w:lineRule="auto"/>
              <w:jc w:val="center"/>
              <w:rPr>
                <w:rFonts w:ascii="Cambria" w:hAnsi="Cambria" w:eastAsia="MS Mincho"/>
                <w:color w:val="000000"/>
                <w:kern w:val="0"/>
                <w:sz w:val="22"/>
                <w:highlight w:val="none"/>
                <w:lang w:eastAsia="en-US"/>
              </w:rPr>
            </w:pPr>
            <w:r>
              <w:rPr>
                <w:rFonts w:ascii="Arial" w:hAnsi="Arial"/>
                <w:color w:val="000000"/>
                <w:kern w:val="0"/>
                <w:highlight w:val="none"/>
                <w:lang w:eastAsia="en-US"/>
              </w:rPr>
              <w:t>1套</w:t>
            </w:r>
          </w:p>
        </w:tc>
        <w:tc>
          <w:tcPr>
            <w:tcW w:w="6716" w:type="dxa"/>
            <w:noWrap w:val="0"/>
            <w:vAlign w:val="center"/>
          </w:tcPr>
          <w:p w14:paraId="5CFC7B91">
            <w:pPr>
              <w:widowControl/>
              <w:adjustRightInd w:val="0"/>
              <w:snapToGrid w:val="0"/>
              <w:spacing w:before="48" w:beforeLines="20" w:line="300" w:lineRule="auto"/>
              <w:jc w:val="left"/>
              <w:rPr>
                <w:rFonts w:ascii="Cambria" w:hAnsi="Cambria" w:eastAsia="MS Mincho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Arial" w:hAnsi="Arial"/>
                <w:color w:val="000000"/>
                <w:kern w:val="0"/>
                <w:highlight w:val="none"/>
              </w:rPr>
              <w:t>纯水水箱1个（不锈钢，2m³）；工艺水箱1个（不锈钢，1m³）；水洗塔1个（气体流量60m³/h）；纯水泵1个（流量20m³/h、压力0.6MPa）；高压水泵1个（流量3m³/h、压力1.6MPa）；工艺水泵1个（流量5m³/h、压力0.7MPa）；纯水分配台2个（不锈钢、8路、流量测量、温度测量）；淬冷器1个（水流量0.2m³/h）；管路、阀门等。</w:t>
            </w:r>
          </w:p>
        </w:tc>
      </w:tr>
      <w:tr w14:paraId="7C8BDF17">
        <w:tblPrEx>
          <w:tblBorders>
            <w:top w:val="single" w:color="000000" w:sz="8" w:space="0"/>
            <w:left w:val="single" w:color="000000" w:sz="4" w:space="0"/>
            <w:bottom w:val="single" w:color="000000" w:sz="8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4" w:type="dxa"/>
            <w:noWrap w:val="0"/>
            <w:vAlign w:val="center"/>
          </w:tcPr>
          <w:p w14:paraId="5B4B82B1">
            <w:pPr>
              <w:widowControl/>
              <w:adjustRightInd w:val="0"/>
              <w:snapToGrid w:val="0"/>
              <w:spacing w:before="48" w:beforeLines="20" w:line="300" w:lineRule="auto"/>
              <w:jc w:val="center"/>
              <w:rPr>
                <w:rFonts w:ascii="Cambria" w:hAnsi="Cambria" w:eastAsia="MS Mincho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Arial" w:hAnsi="Arial"/>
                <w:color w:val="000000"/>
                <w:kern w:val="0"/>
                <w:highlight w:val="none"/>
              </w:rPr>
              <w:t>等离子体发生器及实验腔室</w:t>
            </w:r>
          </w:p>
        </w:tc>
        <w:tc>
          <w:tcPr>
            <w:tcW w:w="709" w:type="dxa"/>
            <w:noWrap w:val="0"/>
            <w:vAlign w:val="center"/>
          </w:tcPr>
          <w:p w14:paraId="45996CE2">
            <w:pPr>
              <w:widowControl/>
              <w:adjustRightInd w:val="0"/>
              <w:snapToGrid w:val="0"/>
              <w:spacing w:before="48" w:beforeLines="20" w:line="300" w:lineRule="auto"/>
              <w:jc w:val="center"/>
              <w:rPr>
                <w:rFonts w:ascii="Cambria" w:hAnsi="Cambria" w:eastAsia="MS Mincho"/>
                <w:color w:val="000000"/>
                <w:kern w:val="0"/>
                <w:sz w:val="22"/>
                <w:highlight w:val="none"/>
                <w:lang w:eastAsia="en-US"/>
              </w:rPr>
            </w:pPr>
            <w:r>
              <w:rPr>
                <w:rFonts w:ascii="Arial" w:hAnsi="Arial"/>
                <w:color w:val="000000"/>
                <w:kern w:val="0"/>
                <w:highlight w:val="none"/>
                <w:lang w:eastAsia="en-US"/>
              </w:rPr>
              <w:t>1套</w:t>
            </w:r>
          </w:p>
        </w:tc>
        <w:tc>
          <w:tcPr>
            <w:tcW w:w="6716" w:type="dxa"/>
            <w:noWrap w:val="0"/>
            <w:vAlign w:val="center"/>
          </w:tcPr>
          <w:p w14:paraId="2A1DD56F">
            <w:pPr>
              <w:widowControl/>
              <w:adjustRightInd w:val="0"/>
              <w:snapToGrid w:val="0"/>
              <w:spacing w:before="48" w:beforeLines="20" w:line="300" w:lineRule="auto"/>
              <w:jc w:val="left"/>
              <w:rPr>
                <w:rFonts w:ascii="Cambria" w:hAnsi="Cambria" w:eastAsia="MS Mincho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Arial" w:hAnsi="Arial"/>
                <w:color w:val="000000"/>
                <w:kern w:val="0"/>
                <w:highlight w:val="none"/>
              </w:rPr>
              <w:t>100kW等离子体炬1台；实验腔室3个；30kW等离子体炬3个。</w:t>
            </w:r>
          </w:p>
        </w:tc>
      </w:tr>
      <w:tr w14:paraId="26C4CF82">
        <w:tblPrEx>
          <w:tblBorders>
            <w:top w:val="single" w:color="000000" w:sz="8" w:space="0"/>
            <w:left w:val="single" w:color="000000" w:sz="4" w:space="0"/>
            <w:bottom w:val="single" w:color="000000" w:sz="8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4" w:type="dxa"/>
            <w:noWrap w:val="0"/>
            <w:vAlign w:val="center"/>
          </w:tcPr>
          <w:p w14:paraId="508CC988">
            <w:pPr>
              <w:widowControl/>
              <w:adjustRightInd w:val="0"/>
              <w:snapToGrid w:val="0"/>
              <w:spacing w:before="48" w:beforeLines="20" w:line="300" w:lineRule="auto"/>
              <w:jc w:val="center"/>
              <w:rPr>
                <w:rFonts w:ascii="Cambria" w:hAnsi="Cambria" w:eastAsia="MS Mincho"/>
                <w:color w:val="000000"/>
                <w:kern w:val="0"/>
                <w:sz w:val="22"/>
                <w:highlight w:val="none"/>
                <w:lang w:eastAsia="en-US"/>
              </w:rPr>
            </w:pPr>
            <w:r>
              <w:rPr>
                <w:rFonts w:ascii="Arial" w:hAnsi="Arial"/>
                <w:color w:val="000000"/>
                <w:kern w:val="0"/>
                <w:highlight w:val="none"/>
                <w:lang w:eastAsia="en-US"/>
              </w:rPr>
              <w:t>控制与数据采集系统</w:t>
            </w:r>
          </w:p>
        </w:tc>
        <w:tc>
          <w:tcPr>
            <w:tcW w:w="709" w:type="dxa"/>
            <w:noWrap w:val="0"/>
            <w:vAlign w:val="center"/>
          </w:tcPr>
          <w:p w14:paraId="66727EC2">
            <w:pPr>
              <w:widowControl/>
              <w:adjustRightInd w:val="0"/>
              <w:snapToGrid w:val="0"/>
              <w:spacing w:before="48" w:beforeLines="20" w:line="300" w:lineRule="auto"/>
              <w:jc w:val="center"/>
              <w:rPr>
                <w:rFonts w:ascii="Cambria" w:hAnsi="Cambria" w:eastAsia="MS Mincho"/>
                <w:color w:val="000000"/>
                <w:kern w:val="0"/>
                <w:sz w:val="22"/>
                <w:highlight w:val="none"/>
                <w:lang w:eastAsia="en-US"/>
              </w:rPr>
            </w:pPr>
            <w:r>
              <w:rPr>
                <w:rFonts w:ascii="Arial" w:hAnsi="Arial"/>
                <w:color w:val="000000"/>
                <w:kern w:val="0"/>
                <w:highlight w:val="none"/>
                <w:lang w:eastAsia="en-US"/>
              </w:rPr>
              <w:t>1套</w:t>
            </w:r>
          </w:p>
        </w:tc>
        <w:tc>
          <w:tcPr>
            <w:tcW w:w="6716" w:type="dxa"/>
            <w:noWrap w:val="0"/>
            <w:vAlign w:val="center"/>
          </w:tcPr>
          <w:p w14:paraId="0149D047">
            <w:pPr>
              <w:widowControl/>
              <w:adjustRightInd w:val="0"/>
              <w:snapToGrid w:val="0"/>
              <w:spacing w:before="48" w:beforeLines="20" w:line="300" w:lineRule="auto"/>
              <w:jc w:val="left"/>
              <w:rPr>
                <w:rFonts w:ascii="Cambria" w:hAnsi="Cambria" w:eastAsia="MS Mincho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Arial" w:hAnsi="Arial"/>
                <w:color w:val="000000"/>
                <w:kern w:val="0"/>
                <w:highlight w:val="none"/>
              </w:rPr>
              <w:t>包含网络通信、上下位机控制、仪表、现场控制系统等。</w:t>
            </w:r>
          </w:p>
        </w:tc>
      </w:tr>
      <w:tr w14:paraId="4C8997D0">
        <w:tblPrEx>
          <w:tblBorders>
            <w:top w:val="single" w:color="000000" w:sz="8" w:space="0"/>
            <w:left w:val="single" w:color="000000" w:sz="4" w:space="0"/>
            <w:bottom w:val="single" w:color="000000" w:sz="8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4" w:type="dxa"/>
            <w:noWrap w:val="0"/>
            <w:vAlign w:val="center"/>
          </w:tcPr>
          <w:p w14:paraId="7E752B43">
            <w:pPr>
              <w:widowControl/>
              <w:adjustRightInd w:val="0"/>
              <w:snapToGrid w:val="0"/>
              <w:spacing w:before="48" w:beforeLines="20" w:line="300" w:lineRule="auto"/>
              <w:jc w:val="center"/>
              <w:rPr>
                <w:rFonts w:ascii="Cambria" w:hAnsi="Cambria" w:eastAsia="MS Mincho"/>
                <w:color w:val="000000"/>
                <w:kern w:val="0"/>
                <w:sz w:val="22"/>
                <w:highlight w:val="none"/>
                <w:lang w:eastAsia="en-US"/>
              </w:rPr>
            </w:pPr>
            <w:r>
              <w:rPr>
                <w:rFonts w:ascii="Arial" w:hAnsi="Arial"/>
                <w:color w:val="000000"/>
                <w:kern w:val="0"/>
                <w:highlight w:val="none"/>
                <w:lang w:eastAsia="en-US"/>
              </w:rPr>
              <w:t>尾气处理系统</w:t>
            </w:r>
          </w:p>
        </w:tc>
        <w:tc>
          <w:tcPr>
            <w:tcW w:w="709" w:type="dxa"/>
            <w:noWrap w:val="0"/>
            <w:vAlign w:val="center"/>
          </w:tcPr>
          <w:p w14:paraId="1AC8A75F">
            <w:pPr>
              <w:widowControl/>
              <w:adjustRightInd w:val="0"/>
              <w:snapToGrid w:val="0"/>
              <w:spacing w:before="48" w:beforeLines="20" w:line="300" w:lineRule="auto"/>
              <w:jc w:val="center"/>
              <w:rPr>
                <w:rFonts w:ascii="Cambria" w:hAnsi="Cambria" w:eastAsia="MS Mincho"/>
                <w:color w:val="000000"/>
                <w:kern w:val="0"/>
                <w:sz w:val="22"/>
                <w:highlight w:val="none"/>
                <w:lang w:eastAsia="en-US"/>
              </w:rPr>
            </w:pPr>
            <w:r>
              <w:rPr>
                <w:rFonts w:ascii="Arial" w:hAnsi="Arial"/>
                <w:color w:val="000000"/>
                <w:kern w:val="0"/>
                <w:highlight w:val="none"/>
                <w:lang w:eastAsia="en-US"/>
              </w:rPr>
              <w:t>1套</w:t>
            </w:r>
          </w:p>
        </w:tc>
        <w:tc>
          <w:tcPr>
            <w:tcW w:w="6716" w:type="dxa"/>
            <w:noWrap w:val="0"/>
            <w:vAlign w:val="center"/>
          </w:tcPr>
          <w:p w14:paraId="7580275A">
            <w:pPr>
              <w:widowControl/>
              <w:adjustRightInd w:val="0"/>
              <w:snapToGrid w:val="0"/>
              <w:spacing w:before="48" w:beforeLines="20" w:line="300" w:lineRule="auto"/>
              <w:jc w:val="left"/>
              <w:rPr>
                <w:rFonts w:ascii="Cambria" w:hAnsi="Cambria" w:eastAsia="MS Mincho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Arial" w:hAnsi="Arial"/>
                <w:color w:val="000000"/>
                <w:kern w:val="0"/>
                <w:highlight w:val="none"/>
              </w:rPr>
              <w:t>催化尾气处理器1台（气体流量60m³/h）；引风机1台（气体流量100m³/h）；旋风分离器（气体流量60m³/h）；管路、阀门等。</w:t>
            </w:r>
          </w:p>
        </w:tc>
      </w:tr>
      <w:tr w14:paraId="4A5AE262">
        <w:tblPrEx>
          <w:tblBorders>
            <w:top w:val="single" w:color="000000" w:sz="8" w:space="0"/>
            <w:left w:val="single" w:color="000000" w:sz="4" w:space="0"/>
            <w:bottom w:val="single" w:color="000000" w:sz="8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4" w:type="dxa"/>
            <w:noWrap w:val="0"/>
            <w:vAlign w:val="center"/>
          </w:tcPr>
          <w:p w14:paraId="4B356504">
            <w:pPr>
              <w:widowControl/>
              <w:adjustRightInd w:val="0"/>
              <w:snapToGrid w:val="0"/>
              <w:spacing w:before="48" w:beforeLines="20" w:line="300" w:lineRule="auto"/>
              <w:jc w:val="center"/>
              <w:rPr>
                <w:rFonts w:ascii="Cambria" w:hAnsi="Cambria" w:eastAsia="MS Mincho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Arial" w:hAnsi="Arial"/>
                <w:color w:val="000000"/>
                <w:kern w:val="0"/>
                <w:highlight w:val="none"/>
              </w:rPr>
              <w:t>危险气体侦测与报警系统</w:t>
            </w:r>
          </w:p>
        </w:tc>
        <w:tc>
          <w:tcPr>
            <w:tcW w:w="709" w:type="dxa"/>
            <w:noWrap w:val="0"/>
            <w:vAlign w:val="center"/>
          </w:tcPr>
          <w:p w14:paraId="27523338">
            <w:pPr>
              <w:widowControl/>
              <w:adjustRightInd w:val="0"/>
              <w:snapToGrid w:val="0"/>
              <w:spacing w:before="48" w:beforeLines="20" w:line="300" w:lineRule="auto"/>
              <w:jc w:val="center"/>
              <w:rPr>
                <w:rFonts w:ascii="Cambria" w:hAnsi="Cambria" w:eastAsia="MS Mincho"/>
                <w:color w:val="000000"/>
                <w:kern w:val="0"/>
                <w:sz w:val="22"/>
                <w:highlight w:val="none"/>
                <w:lang w:eastAsia="en-US"/>
              </w:rPr>
            </w:pPr>
            <w:r>
              <w:rPr>
                <w:rFonts w:ascii="Arial" w:hAnsi="Arial"/>
                <w:color w:val="000000"/>
                <w:kern w:val="0"/>
                <w:highlight w:val="none"/>
                <w:lang w:eastAsia="en-US"/>
              </w:rPr>
              <w:t>1套</w:t>
            </w:r>
          </w:p>
        </w:tc>
        <w:tc>
          <w:tcPr>
            <w:tcW w:w="6716" w:type="dxa"/>
            <w:noWrap w:val="0"/>
            <w:vAlign w:val="center"/>
          </w:tcPr>
          <w:p w14:paraId="05281A7A">
            <w:pPr>
              <w:widowControl/>
              <w:adjustRightInd w:val="0"/>
              <w:snapToGrid w:val="0"/>
              <w:spacing w:before="48" w:beforeLines="20" w:line="300" w:lineRule="auto"/>
              <w:jc w:val="left"/>
              <w:rPr>
                <w:rFonts w:ascii="Cambria" w:hAnsi="Cambria" w:eastAsia="MS Mincho"/>
                <w:color w:val="000000"/>
                <w:kern w:val="0"/>
                <w:sz w:val="22"/>
                <w:highlight w:val="none"/>
                <w:lang w:eastAsia="en-US"/>
              </w:rPr>
            </w:pPr>
            <w:r>
              <w:rPr>
                <w:rFonts w:ascii="Arial" w:hAnsi="Arial"/>
                <w:color w:val="000000"/>
                <w:kern w:val="0"/>
                <w:highlight w:val="none"/>
                <w:lang w:eastAsia="en-US"/>
              </w:rPr>
              <w:t>可燃气体报警仪等。</w:t>
            </w:r>
          </w:p>
        </w:tc>
      </w:tr>
      <w:tr w14:paraId="74C2A2BB">
        <w:tblPrEx>
          <w:tblBorders>
            <w:top w:val="single" w:color="000000" w:sz="8" w:space="0"/>
            <w:left w:val="single" w:color="000000" w:sz="4" w:space="0"/>
            <w:bottom w:val="single" w:color="000000" w:sz="8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4" w:type="dxa"/>
            <w:noWrap w:val="0"/>
            <w:vAlign w:val="center"/>
          </w:tcPr>
          <w:p w14:paraId="6458AA72">
            <w:pPr>
              <w:widowControl/>
              <w:adjustRightInd w:val="0"/>
              <w:snapToGrid w:val="0"/>
              <w:spacing w:before="48" w:beforeLines="20" w:line="300" w:lineRule="auto"/>
              <w:jc w:val="center"/>
              <w:rPr>
                <w:rFonts w:ascii="Cambria" w:hAnsi="Cambria" w:eastAsia="MS Mincho"/>
                <w:color w:val="000000"/>
                <w:kern w:val="0"/>
                <w:sz w:val="22"/>
                <w:highlight w:val="none"/>
                <w:lang w:eastAsia="en-US"/>
              </w:rPr>
            </w:pPr>
            <w:r>
              <w:rPr>
                <w:rFonts w:ascii="Arial" w:hAnsi="Arial"/>
                <w:color w:val="000000"/>
                <w:kern w:val="0"/>
                <w:highlight w:val="none"/>
                <w:lang w:eastAsia="en-US"/>
              </w:rPr>
              <w:t>钢平台</w:t>
            </w:r>
          </w:p>
        </w:tc>
        <w:tc>
          <w:tcPr>
            <w:tcW w:w="709" w:type="dxa"/>
            <w:noWrap w:val="0"/>
            <w:vAlign w:val="center"/>
          </w:tcPr>
          <w:p w14:paraId="1D30CDE1">
            <w:pPr>
              <w:widowControl/>
              <w:adjustRightInd w:val="0"/>
              <w:snapToGrid w:val="0"/>
              <w:spacing w:before="48" w:beforeLines="20" w:line="300" w:lineRule="auto"/>
              <w:jc w:val="center"/>
              <w:rPr>
                <w:rFonts w:ascii="Cambria" w:hAnsi="Cambria" w:eastAsia="MS Mincho"/>
                <w:color w:val="000000"/>
                <w:kern w:val="0"/>
                <w:sz w:val="22"/>
                <w:highlight w:val="none"/>
                <w:lang w:eastAsia="en-US"/>
              </w:rPr>
            </w:pPr>
            <w:r>
              <w:rPr>
                <w:rFonts w:ascii="Arial" w:hAnsi="Arial"/>
                <w:color w:val="000000"/>
                <w:kern w:val="0"/>
                <w:highlight w:val="none"/>
                <w:lang w:eastAsia="en-US"/>
              </w:rPr>
              <w:t>1套</w:t>
            </w:r>
          </w:p>
        </w:tc>
        <w:tc>
          <w:tcPr>
            <w:tcW w:w="6716" w:type="dxa"/>
            <w:noWrap w:val="0"/>
            <w:vAlign w:val="center"/>
          </w:tcPr>
          <w:p w14:paraId="0277D000">
            <w:pPr>
              <w:widowControl/>
              <w:adjustRightInd w:val="0"/>
              <w:snapToGrid w:val="0"/>
              <w:spacing w:before="48" w:beforeLines="20" w:line="300" w:lineRule="auto"/>
              <w:jc w:val="left"/>
              <w:rPr>
                <w:rFonts w:ascii="Cambria" w:hAnsi="Cambria" w:eastAsia="MS Mincho"/>
                <w:color w:val="000000"/>
                <w:kern w:val="0"/>
                <w:sz w:val="22"/>
                <w:highlight w:val="none"/>
              </w:rPr>
            </w:pPr>
            <w:r>
              <w:rPr>
                <w:rFonts w:ascii="Arial" w:hAnsi="Arial"/>
                <w:color w:val="000000"/>
                <w:kern w:val="0"/>
                <w:highlight w:val="none"/>
              </w:rPr>
              <w:t>2层，碳钢，4m×8m×8m，铺花纹钢。</w:t>
            </w:r>
          </w:p>
        </w:tc>
      </w:tr>
    </w:tbl>
    <w:p w14:paraId="2A0D7B94">
      <w:bookmarkStart w:id="10" w:name="_GoBack"/>
      <w:bookmarkEnd w:id="1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AC5415"/>
    <w:rsid w:val="6EAC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beforeLines="0" w:after="330" w:afterLines="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eastAsia="黑体"/>
      <w:sz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2026-09-16T01:45:00Z</dcterms:created>
  <dc:creator>宋方方</dc:creator>
  <cp:lastModifiedBy>宋方方</cp:lastModifiedBy>
  <dcterms:modified xsi:type="dcterms:W3CDTF">2026-09-16T01:46:06Z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620AB9C4C23D4892BBFDAEA9D3249B4C_11</vt:lpwstr>
  </property>
  <property fmtid="{D5CDD505-2E9C-101B-9397-08002B2CF9AE}" pid="4" name="KSOTemplateDocerSaveRecord">
    <vt:lpwstr>eyJoZGlkIjoiY2ZjZDI4YmRkZDY3MGZmNjNjY2JiZTFlYmI4OWM0ZWEiLCJ1c2VySWQiOiIxNzYzODEyODI4In0=</vt:lpwstr>
  </property>
</Properties>
</file>