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E2827">
      <w:pPr>
        <w:pStyle w:val="2"/>
        <w:widowControl/>
        <w:snapToGrid w:val="0"/>
        <w:spacing w:before="0" w:after="0" w:line="360" w:lineRule="auto"/>
        <w:jc w:val="center"/>
        <w:rPr>
          <w:rFonts w:hint="eastAsia" w:ascii="宋体" w:hAnsi="宋体"/>
          <w:color w:val="auto"/>
          <w:highlight w:val="none"/>
        </w:rPr>
      </w:pPr>
      <w:r>
        <w:rPr>
          <w:rFonts w:hint="eastAsia" w:ascii="宋体" w:hAnsi="宋体"/>
          <w:color w:val="auto"/>
          <w:highlight w:val="none"/>
        </w:rPr>
        <w:t>采购需求及技术规格要求</w:t>
      </w:r>
    </w:p>
    <w:p w14:paraId="71DAE721">
      <w:pPr>
        <w:adjustRightInd w:val="0"/>
        <w:snapToGrid w:val="0"/>
        <w:spacing w:before="120" w:beforeLines="50" w:line="360" w:lineRule="auto"/>
        <w:rPr>
          <w:rFonts w:ascii="宋体" w:hAnsi="宋体"/>
          <w:color w:val="auto"/>
          <w:szCs w:val="21"/>
          <w:highlight w:val="none"/>
        </w:rPr>
      </w:pPr>
      <w:r>
        <w:rPr>
          <w:b/>
          <w:color w:val="auto"/>
          <w:sz w:val="24"/>
          <w:highlight w:val="none"/>
        </w:rPr>
        <w:t>1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>货物需求一览表</w:t>
      </w:r>
    </w:p>
    <w:tbl>
      <w:tblPr>
        <w:tblStyle w:val="3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2165"/>
        <w:gridCol w:w="993"/>
        <w:gridCol w:w="1984"/>
        <w:gridCol w:w="2233"/>
      </w:tblGrid>
      <w:tr w14:paraId="3E32F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8" w:type="dxa"/>
            <w:noWrap w:val="0"/>
            <w:vAlign w:val="center"/>
          </w:tcPr>
          <w:p w14:paraId="69B20887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bookmarkStart w:id="0" w:name="_Toc257021215"/>
            <w:bookmarkStart w:id="1" w:name="_Toc12010788"/>
            <w:bookmarkStart w:id="2" w:name="_Toc509153917"/>
            <w:bookmarkStart w:id="3" w:name="_Toc12010815"/>
            <w:bookmarkStart w:id="4" w:name="_Toc30409514"/>
            <w:bookmarkStart w:id="5" w:name="_Toc532807472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2165" w:type="dxa"/>
            <w:noWrap w:val="0"/>
            <w:vAlign w:val="center"/>
          </w:tcPr>
          <w:p w14:paraId="528DA614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货物名称</w:t>
            </w:r>
          </w:p>
        </w:tc>
        <w:tc>
          <w:tcPr>
            <w:tcW w:w="993" w:type="dxa"/>
            <w:noWrap w:val="0"/>
            <w:vAlign w:val="center"/>
          </w:tcPr>
          <w:p w14:paraId="43BCBDA2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数量</w:t>
            </w:r>
          </w:p>
        </w:tc>
        <w:tc>
          <w:tcPr>
            <w:tcW w:w="1984" w:type="dxa"/>
            <w:noWrap w:val="0"/>
            <w:vAlign w:val="center"/>
          </w:tcPr>
          <w:p w14:paraId="3EA6CADB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交货期</w:t>
            </w:r>
          </w:p>
        </w:tc>
        <w:tc>
          <w:tcPr>
            <w:tcW w:w="2233" w:type="dxa"/>
            <w:noWrap w:val="0"/>
            <w:vAlign w:val="top"/>
          </w:tcPr>
          <w:p w14:paraId="365DAF5B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备注</w:t>
            </w:r>
          </w:p>
        </w:tc>
      </w:tr>
      <w:tr w14:paraId="53C4C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78" w:type="dxa"/>
            <w:noWrap w:val="0"/>
            <w:vAlign w:val="center"/>
          </w:tcPr>
          <w:p w14:paraId="337C5AA1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2165" w:type="dxa"/>
            <w:noWrap w:val="0"/>
            <w:vAlign w:val="center"/>
          </w:tcPr>
          <w:p w14:paraId="74F47CEC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离子源加速器法兰和扩展室</w:t>
            </w:r>
          </w:p>
        </w:tc>
        <w:tc>
          <w:tcPr>
            <w:tcW w:w="993" w:type="dxa"/>
            <w:noWrap w:val="0"/>
            <w:vAlign w:val="center"/>
          </w:tcPr>
          <w:p w14:paraId="5B1C4226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2套</w:t>
            </w:r>
          </w:p>
        </w:tc>
        <w:tc>
          <w:tcPr>
            <w:tcW w:w="1984" w:type="dxa"/>
            <w:noWrap w:val="0"/>
            <w:vAlign w:val="center"/>
          </w:tcPr>
          <w:p w14:paraId="11C74D80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合同签订后4个月</w:t>
            </w:r>
          </w:p>
        </w:tc>
        <w:tc>
          <w:tcPr>
            <w:tcW w:w="2233" w:type="dxa"/>
            <w:noWrap w:val="0"/>
            <w:vAlign w:val="top"/>
          </w:tcPr>
          <w:p w14:paraId="1944AD46"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投标方需要对零部件二次设计</w:t>
            </w:r>
          </w:p>
        </w:tc>
      </w:tr>
    </w:tbl>
    <w:p w14:paraId="3CCA2F92">
      <w:pPr>
        <w:adjustRightInd w:val="0"/>
        <w:snapToGrid w:val="0"/>
        <w:spacing w:before="120" w:beforeLines="50" w:line="360" w:lineRule="auto"/>
        <w:rPr>
          <w:bCs/>
          <w:color w:val="auto"/>
          <w:szCs w:val="21"/>
          <w:highlight w:val="none"/>
        </w:rPr>
      </w:pPr>
      <w:r>
        <w:rPr>
          <w:rFonts w:hint="eastAsia"/>
          <w:bCs/>
          <w:color w:val="auto"/>
          <w:szCs w:val="21"/>
          <w:highlight w:val="none"/>
        </w:rPr>
        <w:t>1.1、采购清单</w:t>
      </w:r>
    </w:p>
    <w:tbl>
      <w:tblPr>
        <w:tblStyle w:val="3"/>
        <w:tblW w:w="822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2268"/>
        <w:gridCol w:w="4393"/>
        <w:gridCol w:w="851"/>
      </w:tblGrid>
      <w:tr w14:paraId="522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13874B2A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序号</w:t>
            </w:r>
          </w:p>
        </w:tc>
        <w:tc>
          <w:tcPr>
            <w:tcW w:w="226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88AA957">
            <w:pPr>
              <w:widowControl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名称</w:t>
            </w:r>
          </w:p>
        </w:tc>
        <w:tc>
          <w:tcPr>
            <w:tcW w:w="439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84F8D07"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技术要求</w:t>
            </w:r>
          </w:p>
        </w:tc>
        <w:tc>
          <w:tcPr>
            <w:tcW w:w="85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793435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数量</w:t>
            </w:r>
          </w:p>
        </w:tc>
      </w:tr>
      <w:tr w14:paraId="65A8B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204113E2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C39B087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热阴极扩展室(含扩展室安装盖板不含背板)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4C3A93B9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TU1和304 真空扩散焊，304不锈钢磁导率μ≤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 xml:space="preserve"> 1.2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，扩展室筒体材料为TU1整体锻料加工，尺寸约800mm×500mm，高度220mm，关键尺寸误差±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，平行度0.2mm。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安装盖板为304不锈钢材质，直径约900mm，厚度30mm。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409A83D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</w:t>
            </w:r>
            <w:bookmarkStart w:id="6" w:name="OLE_LINK28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套</w:t>
            </w:r>
            <w:bookmarkEnd w:id="6"/>
          </w:p>
        </w:tc>
      </w:tr>
      <w:tr w14:paraId="7A5EA9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47B26ADE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FC51DEB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法拉第筒和反向电子吸收板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02AA5C1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法拉第筒为铬锆铜筒体真空扩散焊接，</w:t>
            </w:r>
            <w:bookmarkStart w:id="7" w:name="OLE_LINK27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尺寸约660mm×320mm，高度200mm，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反向电子吸收板材质为铬锆铜，真空扩散焊接，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尺寸约650mm×310mm，高度20mm关键尺寸误差±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，平行度0.5mm。</w:t>
            </w:r>
            <w:bookmarkEnd w:id="7"/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439EDFF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1套</w:t>
            </w:r>
          </w:p>
        </w:tc>
      </w:tr>
      <w:tr w14:paraId="334B6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0705B668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431990D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陶瓷绝缘筒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EBFE642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氧化铝陶瓷，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弯曲强度大于</w:t>
            </w:r>
            <w:r>
              <w:rPr>
                <w:bCs/>
                <w:color w:val="auto"/>
                <w:szCs w:val="21"/>
                <w:highlight w:val="none"/>
              </w:rPr>
              <w:t>300Mpa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，介电强度大于</w:t>
            </w:r>
            <w:r>
              <w:rPr>
                <w:bCs/>
                <w:color w:val="auto"/>
                <w:szCs w:val="21"/>
                <w:highlight w:val="none"/>
              </w:rPr>
              <w:t>15kV/mm</w:t>
            </w:r>
            <w:r>
              <w:rPr>
                <w:rFonts w:hint="eastAsia"/>
                <w:bCs/>
                <w:color w:val="auto"/>
                <w:szCs w:val="21"/>
                <w:highlight w:val="none"/>
              </w:rPr>
              <w:t>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跑道型，</w:t>
            </w:r>
            <w:bookmarkStart w:id="8" w:name="OLE_LINK35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尺寸约700mm×360mm，高度220mm，</w:t>
            </w:r>
            <w:bookmarkEnd w:id="8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，平行度0.2mm，端口粗糙度Ra 0.8。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5376C80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1套</w:t>
            </w:r>
          </w:p>
        </w:tc>
      </w:tr>
      <w:tr w14:paraId="3D929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0CB53C01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17B524A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探针板和背部法兰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4DD2F646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探针板材质为TU1，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尺寸约970mm×570mm，高度30mm，关键尺寸误差±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，平行度0.2mm。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背部法兰为304不锈钢材质，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尺寸约直径900mm高度400mm。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101C70F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2套</w:t>
            </w:r>
          </w:p>
        </w:tc>
      </w:tr>
      <w:tr w14:paraId="6D0BF0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099EBEAC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5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B4DE982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环氧块和压块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53A3FC7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环氧块材料为G10，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尺寸约110mm×75mm，厚度20mm，压块为304不锈钢，尺寸约20mm×75mm，厚度20mm，磁导率</w:t>
            </w:r>
            <w:r>
              <w:rPr>
                <w:rFonts w:hint="eastAsia" w:ascii="等线" w:hAnsi="等线" w:eastAsia="等线"/>
                <w:color w:val="auto"/>
                <w:highlight w:val="none"/>
              </w:rPr>
              <w:t>μ≤</w:t>
            </w:r>
            <w:r>
              <w:rPr>
                <w:rFonts w:ascii="等线" w:hAnsi="等线" w:eastAsia="等线"/>
                <w:color w:val="auto"/>
                <w:highlight w:val="none"/>
              </w:rPr>
              <w:t xml:space="preserve"> 1.2</w:t>
            </w:r>
            <w:r>
              <w:rPr>
                <w:rFonts w:hint="eastAsia" w:ascii="等线" w:hAnsi="等线" w:eastAsia="等线"/>
                <w:color w:val="auto"/>
                <w:highlight w:val="none"/>
              </w:rPr>
              <w:t>。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，平行度0.1mm。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2D7953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160个</w:t>
            </w:r>
          </w:p>
        </w:tc>
      </w:tr>
      <w:tr w14:paraId="59F38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221D75EB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6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85E92C0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离子源加速器法兰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1C59AB3E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304或316L，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磁导率</w:t>
            </w:r>
            <w:r>
              <w:rPr>
                <w:rFonts w:hint="eastAsia" w:ascii="等线" w:hAnsi="等线" w:eastAsia="等线"/>
                <w:color w:val="auto"/>
                <w:highlight w:val="none"/>
              </w:rPr>
              <w:t>μ≤</w:t>
            </w:r>
            <w:r>
              <w:rPr>
                <w:rFonts w:ascii="等线" w:hAnsi="等线" w:eastAsia="等线"/>
                <w:color w:val="auto"/>
                <w:highlight w:val="none"/>
              </w:rPr>
              <w:t xml:space="preserve"> 1.2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5A71AF6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2套</w:t>
            </w:r>
          </w:p>
        </w:tc>
      </w:tr>
      <w:tr w14:paraId="6F7E5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7C1AFEC8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3804A66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水管和焊接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18DD6DB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供应商根据离子源结构自行设计，波纹管部分</w:t>
            </w:r>
            <w:r>
              <w:rPr>
                <w:rFonts w:hint="eastAsia"/>
                <w:color w:val="auto"/>
                <w:highlight w:val="none"/>
              </w:rPr>
              <w:t>耐压不低于2MPa，316不锈钢材质，采用优质波纹管，供应商为：BOA Group（博瓦）, Swagelok（</w:t>
            </w:r>
            <w:bookmarkStart w:id="9" w:name="OLE_LINK48"/>
            <w:r>
              <w:rPr>
                <w:rFonts w:hint="eastAsia"/>
                <w:color w:val="auto"/>
                <w:highlight w:val="none"/>
              </w:rPr>
              <w:t>世伟洛克</w:t>
            </w:r>
            <w:bookmarkEnd w:id="9"/>
            <w:r>
              <w:rPr>
                <w:rFonts w:hint="eastAsia"/>
                <w:color w:val="auto"/>
                <w:highlight w:val="none"/>
              </w:rPr>
              <w:t>）、ROTAEX SMT或Witzenmann（威茨曼）其中一家。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B6DF12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1套</w:t>
            </w:r>
          </w:p>
        </w:tc>
      </w:tr>
      <w:tr w14:paraId="36C11C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61474C2A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AA9F1D9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离子源吊装工装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53C9E1C2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供应商根据离子源结构自行设计，实现离子源吊装，承重大于3吨。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86C30E5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1套</w:t>
            </w:r>
          </w:p>
        </w:tc>
      </w:tr>
      <w:tr w14:paraId="0A452E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2081289F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9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7BCD011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离子源安装和检漏工装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1FE9DDC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供应商根据离子源结构自行设计，实现离子源180度翻转和抽真空检漏，承重大于3吨。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D85166C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1套</w:t>
            </w:r>
          </w:p>
        </w:tc>
      </w:tr>
      <w:tr w14:paraId="4A5A7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7A0524EC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B8D2C0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束流限制器和转接法兰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76AF1A07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招标方提供图纸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B3AB5CE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1套</w:t>
            </w:r>
          </w:p>
        </w:tc>
      </w:tr>
      <w:tr w14:paraId="21E52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06B4014D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11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8BC0EDB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氟橡胶&amp;金属密封圈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889499C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根据后期设计提供5套氟橡胶（材质FPM80,德国进口材质），金属密封圈直径约820mm，3根品牌</w:t>
            </w: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  <w:t>HELICOFLEX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EDE7206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bookmarkStart w:id="10" w:name="OLE_LINK31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/</w:t>
            </w:r>
            <w:bookmarkEnd w:id="10"/>
          </w:p>
        </w:tc>
      </w:tr>
      <w:tr w14:paraId="065B47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4EB64CCC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12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D78FA9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水电气接头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5C90EDB4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bookmarkStart w:id="11" w:name="OLE_LINK33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通径10mm卡套接头20个</w:t>
            </w:r>
            <w:bookmarkEnd w:id="11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，通径14mm卡套接头50个。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DA04AAD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/</w:t>
            </w:r>
          </w:p>
        </w:tc>
      </w:tr>
      <w:tr w14:paraId="041860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00B2C20B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13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C8D4AD6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真空检漏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4ADDCBD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2人不低于20天现场检漏，提供检漏仪和氦气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5E92C29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bookmarkStart w:id="12" w:name="OLE_LINK32"/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/</w:t>
            </w:r>
            <w:bookmarkEnd w:id="12"/>
          </w:p>
        </w:tc>
      </w:tr>
      <w:tr w14:paraId="0E1DBC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5C1EB4FF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14</w:t>
            </w:r>
          </w:p>
        </w:tc>
        <w:tc>
          <w:tcPr>
            <w:tcW w:w="22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EB58343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精密安装</w:t>
            </w:r>
          </w:p>
        </w:tc>
        <w:tc>
          <w:tcPr>
            <w:tcW w:w="43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6BBC8B1F">
            <w:pPr>
              <w:widowControl/>
              <w:jc w:val="left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3人不低于60天现场安装，提供激光追踪仪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1ADC37C">
            <w:pPr>
              <w:widowControl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/</w:t>
            </w:r>
          </w:p>
        </w:tc>
      </w:tr>
    </w:tbl>
    <w:p w14:paraId="7ADB1BF8">
      <w:pPr>
        <w:adjustRightInd w:val="0"/>
        <w:snapToGrid w:val="0"/>
        <w:spacing w:line="360" w:lineRule="auto"/>
        <w:ind w:firstLine="422" w:firstLineChars="200"/>
        <w:rPr>
          <w:rFonts w:hint="eastAsia"/>
          <w:b/>
          <w:color w:val="auto"/>
          <w:sz w:val="24"/>
          <w:highlight w:val="none"/>
        </w:rPr>
      </w:pPr>
      <w:bookmarkStart w:id="13" w:name="OLE_LINK15"/>
      <w:r>
        <w:rPr>
          <w:rFonts w:hint="eastAsia"/>
          <w:b/>
          <w:color w:val="auto"/>
          <w:szCs w:val="21"/>
          <w:highlight w:val="none"/>
        </w:rPr>
        <w:t>由于项目复杂性需要现场探勘，联系人：费宇恒，手机：19965019645，投标方投标时，需要给出初步的设计方案和加工制造方案，投标方中标后需要给出完整的三维模型（CATIA绘制）和加工CAD图纸。</w:t>
      </w:r>
    </w:p>
    <w:bookmarkEnd w:id="13"/>
    <w:p w14:paraId="09581EDA">
      <w:pPr>
        <w:adjustRightInd w:val="0"/>
        <w:snapToGrid w:val="0"/>
        <w:spacing w:before="120" w:beforeLines="50" w:line="360" w:lineRule="auto"/>
        <w:rPr>
          <w:rFonts w:hint="eastAsia"/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>工程技术要求</w:t>
      </w:r>
      <w:bookmarkEnd w:id="0"/>
      <w:bookmarkEnd w:id="1"/>
      <w:bookmarkEnd w:id="2"/>
      <w:bookmarkEnd w:id="3"/>
      <w:bookmarkEnd w:id="4"/>
      <w:bookmarkEnd w:id="5"/>
    </w:p>
    <w:p w14:paraId="17E5F749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</w:t>
      </w:r>
      <w:r>
        <w:rPr>
          <w:rFonts w:hint="eastAsia"/>
          <w:b/>
          <w:color w:val="auto"/>
          <w:sz w:val="24"/>
          <w:highlight w:val="none"/>
        </w:rPr>
        <w:t>1、</w:t>
      </w:r>
      <w:r>
        <w:rPr>
          <w:b/>
          <w:color w:val="auto"/>
          <w:sz w:val="24"/>
          <w:highlight w:val="none"/>
        </w:rPr>
        <w:t>设备的主要用途及功能</w:t>
      </w:r>
    </w:p>
    <w:p w14:paraId="45255080">
      <w:pPr>
        <w:spacing w:line="360" w:lineRule="auto"/>
        <w:ind w:firstLine="420" w:firstLineChars="200"/>
        <w:rPr>
          <w:rFonts w:ascii="宋体" w:hAnsi="宋体"/>
          <w:color w:val="auto"/>
          <w:szCs w:val="21"/>
          <w:highlight w:val="none"/>
        </w:rPr>
      </w:pPr>
      <w:r>
        <w:rPr>
          <w:rFonts w:hint="eastAsia" w:ascii="宋体" w:hAnsi="宋体"/>
          <w:color w:val="auto"/>
          <w:szCs w:val="21"/>
          <w:highlight w:val="none"/>
        </w:rPr>
        <w:t>兆瓦级强流离子源是中性束注入器的关键部件，而强流离子源的优质研制成功将极大的促进中性注入器的发展。强流离子源主要包括等离子体发生器和加速器系统，其中</w:t>
      </w:r>
      <w:r>
        <w:rPr>
          <w:rFonts w:ascii="宋体" w:hAnsi="宋体"/>
          <w:color w:val="auto"/>
          <w:szCs w:val="21"/>
          <w:highlight w:val="none"/>
        </w:rPr>
        <w:t>离子源加速器法兰和扩展室</w:t>
      </w:r>
      <w:r>
        <w:rPr>
          <w:rFonts w:hint="eastAsia" w:ascii="宋体" w:hAnsi="宋体"/>
          <w:color w:val="auto"/>
          <w:szCs w:val="21"/>
          <w:highlight w:val="none"/>
        </w:rPr>
        <w:t>是离子源重要部件，现就该零部件进行招标。</w:t>
      </w:r>
    </w:p>
    <w:p w14:paraId="130720C5">
      <w:pPr>
        <w:spacing w:line="360" w:lineRule="auto"/>
        <w:jc w:val="center"/>
        <w:rPr>
          <w:rFonts w:ascii="宋体" w:hAnsi="宋体"/>
          <w:color w:val="auto"/>
          <w:szCs w:val="21"/>
          <w:highlight w:val="none"/>
        </w:rPr>
      </w:pPr>
      <w:r>
        <w:rPr>
          <w:rFonts w:ascii="宋体" w:hAnsi="宋体"/>
          <w:color w:val="auto"/>
          <w:szCs w:val="21"/>
          <w:highlight w:val="none"/>
        </w:rPr>
        <w:drawing>
          <wp:inline distT="0" distB="0" distL="114300" distR="114300">
            <wp:extent cx="2562860" cy="1973580"/>
            <wp:effectExtent l="0" t="0" r="12700" b="7620"/>
            <wp:docPr id="4" name="图片 1" descr="76560c1c1da845d4df83b0ce40cbf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76560c1c1da845d4df83b0ce40cbf1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highlight w:val="none"/>
        </w:rPr>
        <w:t xml:space="preserve"> </w:t>
      </w:r>
      <w:r>
        <w:rPr>
          <w:color w:val="auto"/>
          <w:highlight w:val="none"/>
        </w:rPr>
        <w:drawing>
          <wp:inline distT="0" distB="0" distL="114300" distR="114300">
            <wp:extent cx="2239645" cy="1543050"/>
            <wp:effectExtent l="0" t="0" r="635" b="1143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0075">
      <w:pPr>
        <w:spacing w:line="360" w:lineRule="auto"/>
        <w:jc w:val="center"/>
        <w:rPr>
          <w:rFonts w:hint="eastAsia" w:ascii="宋体" w:hAnsi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/>
          <w:b/>
          <w:bCs/>
          <w:color w:val="auto"/>
          <w:szCs w:val="21"/>
          <w:highlight w:val="none"/>
        </w:rPr>
        <w:t>图1离子源结构概念示意图（左）和热阴极扩展室结构示意图（右）</w:t>
      </w:r>
    </w:p>
    <w:p w14:paraId="4A032A91">
      <w:pPr>
        <w:spacing w:line="360" w:lineRule="auto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334000" cy="229489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C9DC">
      <w:pPr>
        <w:spacing w:line="360" w:lineRule="auto"/>
        <w:jc w:val="center"/>
        <w:rPr>
          <w:rFonts w:ascii="宋体" w:hAnsi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/>
          <w:b/>
          <w:bCs/>
          <w:color w:val="auto"/>
          <w:szCs w:val="21"/>
          <w:highlight w:val="none"/>
        </w:rPr>
        <w:t>图2离子源加速器概念示意图</w:t>
      </w:r>
    </w:p>
    <w:p w14:paraId="6DB32769">
      <w:pPr>
        <w:spacing w:line="360" w:lineRule="auto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6125845" cy="1744345"/>
            <wp:effectExtent l="0" t="0" r="635" b="825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00F1">
      <w:pPr>
        <w:spacing w:line="360" w:lineRule="auto"/>
        <w:jc w:val="center"/>
        <w:rPr>
          <w:rFonts w:hint="eastAsia" w:ascii="宋体" w:hAnsi="宋体"/>
          <w:b/>
          <w:bCs/>
          <w:color w:val="auto"/>
          <w:szCs w:val="21"/>
          <w:highlight w:val="none"/>
        </w:rPr>
      </w:pPr>
      <w:r>
        <w:rPr>
          <w:rFonts w:hint="eastAsia" w:ascii="宋体" w:hAnsi="宋体"/>
          <w:b/>
          <w:bCs/>
          <w:color w:val="auto"/>
          <w:szCs w:val="21"/>
          <w:highlight w:val="none"/>
        </w:rPr>
        <w:t>图3法拉第筒（左），跑道型扩展室（右）</w:t>
      </w:r>
    </w:p>
    <w:p w14:paraId="669024A2">
      <w:pPr>
        <w:spacing w:line="360" w:lineRule="auto"/>
        <w:jc w:val="center"/>
        <w:rPr>
          <w:rFonts w:hint="eastAsia" w:ascii="宋体" w:hAnsi="宋体"/>
          <w:b/>
          <w:bCs/>
          <w:color w:val="auto"/>
          <w:szCs w:val="21"/>
          <w:highlight w:val="none"/>
        </w:rPr>
      </w:pPr>
    </w:p>
    <w:p w14:paraId="394A0805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</w:t>
      </w:r>
      <w:r>
        <w:rPr>
          <w:rFonts w:hint="eastAsia"/>
          <w:b/>
          <w:color w:val="auto"/>
          <w:sz w:val="24"/>
          <w:highlight w:val="none"/>
        </w:rPr>
        <w:t xml:space="preserve">2、 </w:t>
      </w:r>
      <w:r>
        <w:rPr>
          <w:b/>
          <w:color w:val="auto"/>
          <w:sz w:val="24"/>
          <w:highlight w:val="none"/>
        </w:rPr>
        <w:t>工作条件</w:t>
      </w:r>
    </w:p>
    <w:p w14:paraId="61F66E10">
      <w:pPr>
        <w:spacing w:line="480" w:lineRule="auto"/>
        <w:ind w:firstLine="420" w:firstLineChars="200"/>
        <w:rPr>
          <w:rFonts w:ascii="宋体" w:hAnsi="宋体"/>
          <w:color w:val="auto"/>
          <w:szCs w:val="21"/>
          <w:highlight w:val="none"/>
        </w:rPr>
      </w:pPr>
      <w:r>
        <w:rPr>
          <w:rFonts w:hint="eastAsia" w:ascii="宋体" w:hAnsi="宋体"/>
          <w:color w:val="auto"/>
          <w:highlight w:val="none"/>
        </w:rPr>
        <w:t>离子源加速器法兰和扩展室工作在真空度约5.0×10</w:t>
      </w:r>
      <w:r>
        <w:rPr>
          <w:rFonts w:hint="eastAsia" w:ascii="宋体" w:hAnsi="宋体"/>
          <w:color w:val="auto"/>
          <w:highlight w:val="none"/>
          <w:vertAlign w:val="superscript"/>
        </w:rPr>
        <w:t>-3</w:t>
      </w:r>
      <w:r>
        <w:rPr>
          <w:rFonts w:hint="eastAsia" w:ascii="宋体" w:hAnsi="宋体"/>
          <w:color w:val="auto"/>
          <w:highlight w:val="none"/>
        </w:rPr>
        <w:t xml:space="preserve"> Pa</w:t>
      </w:r>
      <w:r>
        <w:rPr>
          <w:rFonts w:hint="eastAsia" w:ascii="宋体" w:hAnsi="宋体"/>
          <w:color w:val="auto"/>
          <w:highlight w:val="none"/>
          <w:lang w:val="en-GB"/>
        </w:rPr>
        <w:t>的真空环境中，</w:t>
      </w:r>
      <w:r>
        <w:rPr>
          <w:rFonts w:hint="eastAsia" w:ascii="宋体" w:hAnsi="宋体"/>
          <w:color w:val="auto"/>
          <w:szCs w:val="21"/>
          <w:highlight w:val="none"/>
        </w:rPr>
        <w:t>长期工作在温度150摄氏度以上</w:t>
      </w:r>
      <w:r>
        <w:rPr>
          <w:rFonts w:hint="eastAsia" w:ascii="宋体" w:hAnsi="宋体"/>
          <w:color w:val="auto"/>
          <w:highlight w:val="none"/>
          <w:lang w:val="en-GB"/>
        </w:rPr>
        <w:t>。</w:t>
      </w:r>
    </w:p>
    <w:p w14:paraId="070DDEE5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</w:t>
      </w:r>
      <w:r>
        <w:rPr>
          <w:rFonts w:hint="eastAsia"/>
          <w:b/>
          <w:color w:val="auto"/>
          <w:sz w:val="24"/>
          <w:highlight w:val="none"/>
        </w:rPr>
        <w:t>3、</w:t>
      </w:r>
      <w:r>
        <w:rPr>
          <w:b/>
          <w:color w:val="auto"/>
          <w:sz w:val="24"/>
          <w:highlight w:val="none"/>
        </w:rPr>
        <w:t xml:space="preserve"> 技术性能指标要求</w:t>
      </w:r>
    </w:p>
    <w:p w14:paraId="44A9AE4E">
      <w:pPr>
        <w:adjustRightInd w:val="0"/>
        <w:snapToGrid w:val="0"/>
        <w:spacing w:line="360" w:lineRule="auto"/>
        <w:ind w:firstLine="482" w:firstLineChars="200"/>
        <w:jc w:val="center"/>
        <w:rPr>
          <w:rFonts w:hint="eastAsia"/>
          <w:b/>
          <w:bCs/>
          <w:color w:val="auto"/>
          <w:sz w:val="24"/>
          <w:highlight w:val="none"/>
        </w:rPr>
      </w:pPr>
      <w:r>
        <w:rPr>
          <w:rFonts w:hint="eastAsia"/>
          <w:b/>
          <w:bCs/>
          <w:color w:val="auto"/>
          <w:sz w:val="24"/>
          <w:highlight w:val="none"/>
        </w:rPr>
        <w:t>表1技术要求</w:t>
      </w:r>
    </w:p>
    <w:tbl>
      <w:tblPr>
        <w:tblStyle w:val="3"/>
        <w:tblW w:w="458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"/>
        <w:gridCol w:w="1737"/>
        <w:gridCol w:w="3663"/>
        <w:gridCol w:w="1795"/>
      </w:tblGrid>
      <w:tr w14:paraId="35DE9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398" w:type="pct"/>
            <w:noWrap w:val="0"/>
            <w:vAlign w:val="top"/>
          </w:tcPr>
          <w:p w14:paraId="00E916B8">
            <w:pPr>
              <w:spacing w:line="360" w:lineRule="auto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1111" w:type="pct"/>
            <w:noWrap w:val="0"/>
            <w:vAlign w:val="top"/>
          </w:tcPr>
          <w:p w14:paraId="717458B5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参数名称</w:t>
            </w:r>
          </w:p>
        </w:tc>
        <w:tc>
          <w:tcPr>
            <w:tcW w:w="2343" w:type="pct"/>
            <w:noWrap w:val="0"/>
            <w:vAlign w:val="top"/>
          </w:tcPr>
          <w:p w14:paraId="41BE8326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参数值</w:t>
            </w:r>
          </w:p>
        </w:tc>
        <w:tc>
          <w:tcPr>
            <w:tcW w:w="1148" w:type="pct"/>
            <w:noWrap w:val="0"/>
            <w:vAlign w:val="top"/>
          </w:tcPr>
          <w:p w14:paraId="602A5825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备注</w:t>
            </w:r>
          </w:p>
        </w:tc>
      </w:tr>
      <w:tr w14:paraId="349CD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98" w:type="pct"/>
            <w:noWrap w:val="0"/>
            <w:vAlign w:val="center"/>
          </w:tcPr>
          <w:p w14:paraId="0BAC509D">
            <w:pPr>
              <w:spacing w:line="360" w:lineRule="auto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ascii="宋体" w:hAns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1111" w:type="pct"/>
            <w:noWrap w:val="0"/>
            <w:vAlign w:val="center"/>
          </w:tcPr>
          <w:p w14:paraId="74B1C24C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金属材料</w:t>
            </w:r>
          </w:p>
        </w:tc>
        <w:tc>
          <w:tcPr>
            <w:tcW w:w="2343" w:type="pct"/>
            <w:noWrap w:val="0"/>
            <w:vAlign w:val="center"/>
          </w:tcPr>
          <w:p w14:paraId="037E66B8">
            <w:pPr>
              <w:spacing w:line="360" w:lineRule="auto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优质304不锈钢和TU1无氧铜</w:t>
            </w:r>
          </w:p>
        </w:tc>
        <w:tc>
          <w:tcPr>
            <w:tcW w:w="1148" w:type="pct"/>
            <w:noWrap w:val="0"/>
            <w:vAlign w:val="center"/>
          </w:tcPr>
          <w:p w14:paraId="68E8404B">
            <w:pPr>
              <w:spacing w:line="360" w:lineRule="auto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验收交货时提供材质证明</w:t>
            </w:r>
          </w:p>
        </w:tc>
      </w:tr>
      <w:tr w14:paraId="368A3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398" w:type="pct"/>
            <w:noWrap w:val="0"/>
            <w:vAlign w:val="center"/>
          </w:tcPr>
          <w:p w14:paraId="0990294B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111" w:type="pct"/>
            <w:noWrap w:val="0"/>
            <w:vAlign w:val="center"/>
          </w:tcPr>
          <w:p w14:paraId="53184D2B">
            <w:pPr>
              <w:spacing w:line="360" w:lineRule="auto"/>
              <w:ind w:firstLine="210" w:firstLineChars="1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整体尺寸误差</w:t>
            </w:r>
          </w:p>
        </w:tc>
        <w:tc>
          <w:tcPr>
            <w:tcW w:w="2343" w:type="pct"/>
            <w:noWrap w:val="0"/>
            <w:vAlign w:val="top"/>
          </w:tcPr>
          <w:p w14:paraId="63422F29">
            <w:pPr>
              <w:spacing w:line="360" w:lineRule="auto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关键尺寸误差在±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0.0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25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以内，整体误差在±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0.1mm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以内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,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平面度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0.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03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mm</w:t>
            </w:r>
          </w:p>
        </w:tc>
        <w:tc>
          <w:tcPr>
            <w:tcW w:w="1148" w:type="pct"/>
            <w:noWrap w:val="0"/>
            <w:vAlign w:val="center"/>
          </w:tcPr>
          <w:p w14:paraId="1B5B3593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  <w:tr w14:paraId="4E305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398" w:type="pct"/>
            <w:noWrap w:val="0"/>
            <w:vAlign w:val="center"/>
          </w:tcPr>
          <w:p w14:paraId="35EBD02E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3</w:t>
            </w:r>
          </w:p>
        </w:tc>
        <w:tc>
          <w:tcPr>
            <w:tcW w:w="1111" w:type="pct"/>
            <w:noWrap w:val="0"/>
            <w:vAlign w:val="center"/>
          </w:tcPr>
          <w:p w14:paraId="2BF89834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水道耐压</w:t>
            </w:r>
          </w:p>
        </w:tc>
        <w:tc>
          <w:tcPr>
            <w:tcW w:w="2343" w:type="pct"/>
            <w:noWrap w:val="0"/>
            <w:vAlign w:val="center"/>
          </w:tcPr>
          <w:p w14:paraId="058D8B7B">
            <w:pPr>
              <w:spacing w:line="360" w:lineRule="auto"/>
              <w:ind w:firstLine="1260" w:firstLineChars="6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1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MPa</w:t>
            </w:r>
          </w:p>
        </w:tc>
        <w:tc>
          <w:tcPr>
            <w:tcW w:w="1148" w:type="pct"/>
            <w:noWrap w:val="0"/>
            <w:vAlign w:val="center"/>
          </w:tcPr>
          <w:p w14:paraId="30AC73DD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  <w:tr w14:paraId="1C8A8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398" w:type="pct"/>
            <w:noWrap w:val="0"/>
            <w:vAlign w:val="center"/>
          </w:tcPr>
          <w:p w14:paraId="06A92F75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1111" w:type="pct"/>
            <w:noWrap w:val="0"/>
            <w:vAlign w:val="center"/>
          </w:tcPr>
          <w:p w14:paraId="1661EA62">
            <w:pPr>
              <w:spacing w:line="360" w:lineRule="auto"/>
              <w:ind w:firstLine="420" w:firstLineChars="2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水道漏率</w:t>
            </w:r>
          </w:p>
        </w:tc>
        <w:tc>
          <w:tcPr>
            <w:tcW w:w="2343" w:type="pct"/>
            <w:noWrap w:val="0"/>
            <w:vAlign w:val="top"/>
          </w:tcPr>
          <w:p w14:paraId="138EB397">
            <w:pPr>
              <w:spacing w:line="360" w:lineRule="auto"/>
              <w:ind w:firstLine="840" w:firstLineChars="400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≤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5.0×10</w:t>
            </w:r>
            <w:r>
              <w:rPr>
                <w:rFonts w:ascii="宋体" w:hAnsi="宋体"/>
                <w:color w:val="auto"/>
                <w:szCs w:val="21"/>
                <w:highlight w:val="none"/>
                <w:vertAlign w:val="superscript"/>
              </w:rPr>
              <w:t>-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  <w:vertAlign w:val="superscript"/>
              </w:rPr>
              <w:t>10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 xml:space="preserve"> Pa·m</w:t>
            </w:r>
            <w:r>
              <w:rPr>
                <w:rFonts w:ascii="宋体" w:hAnsi="宋体"/>
                <w:color w:val="auto"/>
                <w:szCs w:val="21"/>
                <w:highlight w:val="none"/>
                <w:vertAlign w:val="superscript"/>
              </w:rPr>
              <w:t>3</w:t>
            </w:r>
            <w:r>
              <w:rPr>
                <w:rFonts w:ascii="宋体" w:hAnsi="宋体"/>
                <w:color w:val="auto"/>
                <w:szCs w:val="21"/>
                <w:highlight w:val="none"/>
                <w:lang w:val="en-GB"/>
              </w:rPr>
              <w:t>/s</w:t>
            </w:r>
          </w:p>
        </w:tc>
        <w:tc>
          <w:tcPr>
            <w:tcW w:w="1148" w:type="pct"/>
            <w:noWrap w:val="0"/>
            <w:vAlign w:val="top"/>
          </w:tcPr>
          <w:p w14:paraId="7C7E1CFC">
            <w:pPr>
              <w:spacing w:line="360" w:lineRule="auto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  <w:tr w14:paraId="7BC29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98" w:type="pct"/>
            <w:noWrap w:val="0"/>
            <w:vAlign w:val="center"/>
          </w:tcPr>
          <w:p w14:paraId="30D09913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5</w:t>
            </w:r>
          </w:p>
        </w:tc>
        <w:tc>
          <w:tcPr>
            <w:tcW w:w="1111" w:type="pct"/>
            <w:noWrap w:val="0"/>
            <w:vAlign w:val="center"/>
          </w:tcPr>
          <w:p w14:paraId="3965D777">
            <w:pPr>
              <w:spacing w:line="360" w:lineRule="auto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TU1和304焊接方法</w:t>
            </w:r>
          </w:p>
        </w:tc>
        <w:tc>
          <w:tcPr>
            <w:tcW w:w="2343" w:type="pct"/>
            <w:noWrap w:val="0"/>
            <w:vAlign w:val="top"/>
          </w:tcPr>
          <w:p w14:paraId="03E3C665">
            <w:pPr>
              <w:spacing w:line="360" w:lineRule="auto"/>
              <w:ind w:firstLine="1260" w:firstLineChars="600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真空钎焊</w:t>
            </w:r>
          </w:p>
        </w:tc>
        <w:tc>
          <w:tcPr>
            <w:tcW w:w="1148" w:type="pct"/>
            <w:noWrap w:val="0"/>
            <w:vAlign w:val="top"/>
          </w:tcPr>
          <w:p w14:paraId="4DCF728E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  <w:tr w14:paraId="765A5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98" w:type="pct"/>
            <w:noWrap w:val="0"/>
            <w:vAlign w:val="center"/>
          </w:tcPr>
          <w:p w14:paraId="32B07577">
            <w:pPr>
              <w:spacing w:line="360" w:lineRule="auto"/>
              <w:jc w:val="center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6</w:t>
            </w:r>
          </w:p>
        </w:tc>
        <w:tc>
          <w:tcPr>
            <w:tcW w:w="1111" w:type="pct"/>
            <w:noWrap w:val="0"/>
            <w:vAlign w:val="center"/>
          </w:tcPr>
          <w:p w14:paraId="24058585">
            <w:pPr>
              <w:spacing w:line="360" w:lineRule="auto"/>
              <w:ind w:firstLine="420" w:firstLineChars="200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表面粗糙度</w:t>
            </w:r>
          </w:p>
        </w:tc>
        <w:tc>
          <w:tcPr>
            <w:tcW w:w="2343" w:type="pct"/>
            <w:noWrap w:val="0"/>
            <w:vAlign w:val="top"/>
          </w:tcPr>
          <w:p w14:paraId="73EBA165">
            <w:pPr>
              <w:spacing w:line="360" w:lineRule="auto"/>
              <w:ind w:firstLine="420" w:firstLineChars="200"/>
              <w:rPr>
                <w:rFonts w:hint="eastAsia" w:ascii="宋体" w:hAnsi="宋体"/>
                <w:color w:val="auto"/>
                <w:szCs w:val="21"/>
                <w:highlight w:val="none"/>
              </w:rPr>
            </w:pPr>
            <w:bookmarkStart w:id="14" w:name="OLE_LINK19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真空室内部部件镜面抛光≤</w:t>
            </w:r>
            <w:bookmarkEnd w:id="14"/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Ra 0.4</w:t>
            </w:r>
          </w:p>
        </w:tc>
        <w:tc>
          <w:tcPr>
            <w:tcW w:w="1148" w:type="pct"/>
            <w:noWrap w:val="0"/>
            <w:vAlign w:val="top"/>
          </w:tcPr>
          <w:p w14:paraId="02C07F1D">
            <w:pPr>
              <w:spacing w:line="360" w:lineRule="auto"/>
              <w:ind w:firstLine="420" w:firstLineChars="20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</w:p>
        </w:tc>
      </w:tr>
    </w:tbl>
    <w:p w14:paraId="2E72BE47">
      <w:bookmarkStart w:id="15" w:name="_GoBack"/>
      <w:bookmarkEnd w:id="1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2663E"/>
    <w:rsid w:val="3DC2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2026-05-06T07:08:00Z</dcterms:created>
  <dc:creator>宋方方</dc:creator>
  <cp:lastModifiedBy>宋方方</cp:lastModifiedBy>
  <dcterms:modified xsi:type="dcterms:W3CDTF">2026-05-06T07:08:45Z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15F1ED3D78934979A4CD83368AA69EC2_11</vt:lpwstr>
  </property>
  <property fmtid="{D5CDD505-2E9C-101B-9397-08002B2CF9AE}" pid="4" name="KSOTemplateDocerSaveRecord">
    <vt:lpwstr>eyJoZGlkIjoiY2ZjZDI4YmRkZDY3MGZmNjNjY2JiZTFlYmI4OWM0ZWEiLCJ1c2VySWQiOiIxNzYzODEyODI4In0=</vt:lpwstr>
  </property>
</Properties>
</file>