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BE8F6">
      <w:pPr>
        <w:pStyle w:val="3"/>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48A5BF2C">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p w14:paraId="4C379B75">
      <w:pPr>
        <w:widowControl/>
        <w:spacing w:line="360" w:lineRule="auto"/>
        <w:ind w:firstLine="420" w:firstLineChars="200"/>
        <w:rPr>
          <w:rFonts w:ascii="宋体" w:hAnsi="宋体"/>
          <w:color w:val="auto"/>
          <w:szCs w:val="21"/>
          <w:highlight w:val="none"/>
        </w:rPr>
      </w:pPr>
    </w:p>
    <w:tbl>
      <w:tblPr>
        <w:tblStyle w:val="6"/>
        <w:tblW w:w="7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1790"/>
      </w:tblGrid>
      <w:tr w14:paraId="6C04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35891AD4">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378" w:type="dxa"/>
            <w:noWrap w:val="0"/>
            <w:vAlign w:val="center"/>
          </w:tcPr>
          <w:p w14:paraId="698A01AF">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239" w:type="dxa"/>
            <w:noWrap w:val="0"/>
            <w:vAlign w:val="center"/>
          </w:tcPr>
          <w:p w14:paraId="608D5378">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1790" w:type="dxa"/>
            <w:noWrap w:val="0"/>
            <w:vAlign w:val="center"/>
          </w:tcPr>
          <w:p w14:paraId="031CC281">
            <w:pPr>
              <w:adjustRightInd w:val="0"/>
              <w:snapToGrid w:val="0"/>
              <w:jc w:val="center"/>
              <w:rPr>
                <w:rFonts w:ascii="宋体" w:hAnsi="宋体"/>
                <w:color w:val="auto"/>
                <w:szCs w:val="21"/>
                <w:highlight w:val="none"/>
              </w:rPr>
            </w:pPr>
            <w:r>
              <w:rPr>
                <w:rFonts w:hint="eastAsia" w:ascii="宋体" w:hAnsi="宋体"/>
                <w:color w:val="auto"/>
                <w:szCs w:val="21"/>
                <w:highlight w:val="none"/>
              </w:rPr>
              <w:t>交货期</w:t>
            </w:r>
          </w:p>
        </w:tc>
      </w:tr>
      <w:tr w14:paraId="43BC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3AB6709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3378" w:type="dxa"/>
            <w:noWrap w:val="0"/>
            <w:vAlign w:val="center"/>
          </w:tcPr>
          <w:p w14:paraId="46F561FA">
            <w:pPr>
              <w:adjustRightInd w:val="0"/>
              <w:snapToGrid w:val="0"/>
              <w:jc w:val="center"/>
              <w:rPr>
                <w:rFonts w:hint="eastAsia" w:ascii="宋体" w:hAnsi="宋体"/>
                <w:color w:val="auto"/>
                <w:szCs w:val="21"/>
                <w:highlight w:val="none"/>
              </w:rPr>
            </w:pPr>
            <w:r>
              <w:rPr>
                <w:color w:val="auto"/>
                <w:szCs w:val="21"/>
                <w:highlight w:val="none"/>
              </w:rPr>
              <w:t>冷屏测试杜瓦</w:t>
            </w:r>
          </w:p>
        </w:tc>
        <w:tc>
          <w:tcPr>
            <w:tcW w:w="1239" w:type="dxa"/>
            <w:noWrap w:val="0"/>
            <w:vAlign w:val="center"/>
          </w:tcPr>
          <w:p w14:paraId="0D49B90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1790" w:type="dxa"/>
            <w:noWrap w:val="0"/>
            <w:vAlign w:val="center"/>
          </w:tcPr>
          <w:p w14:paraId="29E01C0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合同签订后3个月内。</w:t>
            </w:r>
          </w:p>
        </w:tc>
      </w:tr>
    </w:tbl>
    <w:p w14:paraId="3947E9CC">
      <w:pPr>
        <w:adjustRightInd w:val="0"/>
        <w:snapToGrid w:val="0"/>
        <w:spacing w:line="360" w:lineRule="auto"/>
        <w:ind w:firstLine="482" w:firstLineChars="200"/>
        <w:rPr>
          <w:rFonts w:hint="eastAsia"/>
          <w:b/>
          <w:color w:val="auto"/>
          <w:sz w:val="24"/>
          <w:highlight w:val="none"/>
        </w:rPr>
      </w:pPr>
      <w:bookmarkStart w:id="0" w:name="_Toc532807472"/>
      <w:bookmarkStart w:id="1" w:name="_Toc509153917"/>
      <w:bookmarkStart w:id="2" w:name="_Toc30409514"/>
      <w:bookmarkStart w:id="3" w:name="_Toc12010788"/>
      <w:bookmarkStart w:id="4" w:name="_Toc12010815"/>
      <w:bookmarkStart w:id="5" w:name="_Toc257021215"/>
    </w:p>
    <w:p w14:paraId="26BD982F">
      <w:pPr>
        <w:adjustRightInd w:val="0"/>
        <w:snapToGrid w:val="0"/>
        <w:spacing w:before="120" w:beforeLines="50" w:line="360" w:lineRule="auto"/>
        <w:rPr>
          <w:rFonts w:hint="eastAsia"/>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375DF822">
      <w:pPr>
        <w:pStyle w:val="4"/>
        <w:spacing w:line="240" w:lineRule="auto"/>
        <w:jc w:val="left"/>
        <w:rPr>
          <w:rFonts w:hint="eastAsia" w:ascii="宋体" w:hAnsi="宋体" w:cs="宋体"/>
          <w:b/>
          <w:bCs/>
          <w:color w:val="auto"/>
          <w:sz w:val="24"/>
          <w:szCs w:val="24"/>
          <w:highlight w:val="none"/>
        </w:rPr>
      </w:pPr>
      <w:bookmarkStart w:id="6" w:name="_Toc23682"/>
      <w:r>
        <w:rPr>
          <w:rFonts w:hint="eastAsia" w:ascii="宋体" w:hAnsi="宋体" w:cs="宋体"/>
          <w:b/>
          <w:bCs/>
          <w:color w:val="auto"/>
          <w:sz w:val="24"/>
          <w:szCs w:val="24"/>
          <w:highlight w:val="none"/>
        </w:rPr>
        <w:t>2.1 总体要求</w:t>
      </w:r>
      <w:bookmarkEnd w:id="6"/>
    </w:p>
    <w:p w14:paraId="16B0BCD3">
      <w:pPr>
        <w:spacing w:line="360" w:lineRule="auto"/>
        <w:ind w:firstLine="420" w:firstLineChars="200"/>
        <w:jc w:val="left"/>
        <w:rPr>
          <w:color w:val="auto"/>
          <w:highlight w:val="none"/>
        </w:rPr>
      </w:pPr>
      <w:r>
        <w:rPr>
          <w:rFonts w:hint="eastAsia"/>
          <w:color w:val="auto"/>
          <w:highlight w:val="none"/>
        </w:rPr>
        <w:t>本文所提出的技术要求并不完全包括国家规范和标准的全部要求，投标人除必须满足本文中所提出的各项要求外，还应满足相应的国家及行业标准、规范和其他相关标准、规范要求。关于</w:t>
      </w:r>
      <w:r>
        <w:rPr>
          <w:color w:val="auto"/>
          <w:highlight w:val="none"/>
        </w:rPr>
        <w:t>BEST冷屏测试杜瓦平台</w:t>
      </w:r>
      <w:r>
        <w:rPr>
          <w:rFonts w:hint="eastAsia"/>
          <w:color w:val="auto"/>
          <w:highlight w:val="none"/>
        </w:rPr>
        <w:t>研制项目，供应商需根据采购合同与技术协议的设计输入提交项目实施进度方案、设计及分析方案、系统3D设计图及工程图、加工或购置系统所需的零部件及设备，同时提供系统设备工艺布置、现场安装及运行调试，确保系统实现所需的全部功能。</w:t>
      </w:r>
    </w:p>
    <w:p w14:paraId="5622627C">
      <w:pPr>
        <w:pStyle w:val="4"/>
        <w:spacing w:before="163" w:after="163" w:line="240" w:lineRule="auto"/>
        <w:jc w:val="left"/>
        <w:rPr>
          <w:b/>
          <w:bCs/>
          <w:color w:val="auto"/>
          <w:sz w:val="24"/>
          <w:szCs w:val="24"/>
          <w:highlight w:val="none"/>
        </w:rPr>
      </w:pPr>
      <w:bookmarkStart w:id="7" w:name="_Toc21724"/>
      <w:r>
        <w:rPr>
          <w:rFonts w:hint="eastAsia"/>
          <w:b/>
          <w:bCs/>
          <w:color w:val="auto"/>
          <w:sz w:val="24"/>
          <w:szCs w:val="24"/>
          <w:highlight w:val="none"/>
        </w:rPr>
        <w:t>2.2 主要设计规范及标准</w:t>
      </w:r>
      <w:bookmarkEnd w:id="7"/>
    </w:p>
    <w:p w14:paraId="19762C75">
      <w:pPr>
        <w:spacing w:line="360" w:lineRule="auto"/>
        <w:ind w:left="837" w:leftChars="193" w:hanging="432" w:hangingChars="206"/>
        <w:jc w:val="left"/>
        <w:rPr>
          <w:color w:val="auto"/>
          <w:highlight w:val="none"/>
        </w:rPr>
      </w:pPr>
      <w:r>
        <w:rPr>
          <w:color w:val="auto"/>
          <w:highlight w:val="none"/>
        </w:rPr>
        <w:t xml:space="preserve">GB 150.1~150.4 </w:t>
      </w:r>
      <w:r>
        <w:rPr>
          <w:rFonts w:hint="eastAsia"/>
          <w:color w:val="auto"/>
          <w:highlight w:val="none"/>
        </w:rPr>
        <w:t>压力容器设计标准</w:t>
      </w:r>
    </w:p>
    <w:p w14:paraId="4BB986DD">
      <w:pPr>
        <w:spacing w:line="360" w:lineRule="auto"/>
        <w:ind w:left="837" w:leftChars="193" w:hanging="432" w:hangingChars="206"/>
        <w:jc w:val="left"/>
        <w:rPr>
          <w:rFonts w:hint="eastAsia"/>
          <w:color w:val="auto"/>
          <w:highlight w:val="none"/>
        </w:rPr>
      </w:pPr>
      <w:r>
        <w:rPr>
          <w:color w:val="auto"/>
          <w:highlight w:val="none"/>
        </w:rPr>
        <w:t xml:space="preserve">JB-4732 1995 </w:t>
      </w:r>
      <w:r>
        <w:rPr>
          <w:rFonts w:hint="eastAsia"/>
          <w:color w:val="auto"/>
          <w:highlight w:val="none"/>
        </w:rPr>
        <w:t>钢制压力容器分析设计</w:t>
      </w:r>
    </w:p>
    <w:p w14:paraId="4246A7F8">
      <w:pPr>
        <w:spacing w:line="360" w:lineRule="auto"/>
        <w:ind w:left="837" w:leftChars="193" w:hanging="432" w:hangingChars="206"/>
        <w:jc w:val="left"/>
        <w:rPr>
          <w:rFonts w:hint="eastAsia"/>
          <w:color w:val="auto"/>
          <w:highlight w:val="none"/>
        </w:rPr>
      </w:pPr>
      <w:r>
        <w:rPr>
          <w:rFonts w:hint="eastAsia"/>
          <w:color w:val="auto"/>
          <w:highlight w:val="none"/>
        </w:rPr>
        <w:t>GB/T 36176 真空技术 氦质谱真空检漏方法</w:t>
      </w:r>
    </w:p>
    <w:p w14:paraId="593C6EB7">
      <w:pPr>
        <w:pStyle w:val="4"/>
        <w:spacing w:before="163" w:after="163" w:line="240" w:lineRule="auto"/>
        <w:jc w:val="left"/>
        <w:rPr>
          <w:b/>
          <w:bCs/>
          <w:color w:val="auto"/>
          <w:sz w:val="24"/>
          <w:szCs w:val="24"/>
          <w:highlight w:val="none"/>
        </w:rPr>
      </w:pPr>
      <w:bookmarkStart w:id="8" w:name="_Toc21516"/>
      <w:r>
        <w:rPr>
          <w:rFonts w:hint="eastAsia"/>
          <w:b/>
          <w:bCs/>
          <w:color w:val="auto"/>
          <w:sz w:val="24"/>
          <w:szCs w:val="24"/>
          <w:highlight w:val="none"/>
        </w:rPr>
        <w:t>2.3 总体技术指标与要求</w:t>
      </w:r>
      <w:bookmarkEnd w:id="8"/>
    </w:p>
    <w:p w14:paraId="30AE6836">
      <w:pPr>
        <w:spacing w:line="360" w:lineRule="auto"/>
        <w:ind w:firstLine="420" w:firstLineChars="200"/>
        <w:jc w:val="left"/>
        <w:rPr>
          <w:color w:val="auto"/>
          <w:highlight w:val="none"/>
        </w:rPr>
      </w:pPr>
      <w:r>
        <w:rPr>
          <w:color w:val="auto"/>
          <w:highlight w:val="none"/>
        </w:rPr>
        <w:t>TF</w:t>
      </w:r>
      <w:r>
        <w:rPr>
          <w:rFonts w:hint="eastAsia"/>
          <w:color w:val="auto"/>
          <w:highlight w:val="none"/>
        </w:rPr>
        <w:t>磁体测试杜瓦的关键技术指标与要求如表2.1所示。</w:t>
      </w:r>
    </w:p>
    <w:p w14:paraId="1773D9F3">
      <w:pPr>
        <w:spacing w:line="360" w:lineRule="auto"/>
        <w:jc w:val="center"/>
        <w:rPr>
          <w:b/>
          <w:bCs/>
          <w:color w:val="auto"/>
          <w:highlight w:val="none"/>
        </w:rPr>
      </w:pPr>
      <w:r>
        <w:rPr>
          <w:rFonts w:hint="eastAsia"/>
          <w:b/>
          <w:bCs/>
          <w:color w:val="auto"/>
          <w:highlight w:val="none"/>
        </w:rPr>
        <w:t>表2.</w:t>
      </w:r>
      <w:r>
        <w:rPr>
          <w:b/>
          <w:bCs/>
          <w:color w:val="auto"/>
          <w:highlight w:val="none"/>
        </w:rPr>
        <w:t xml:space="preserve">1 </w:t>
      </w:r>
      <w:r>
        <w:rPr>
          <w:rFonts w:hint="eastAsia"/>
          <w:b/>
          <w:bCs/>
          <w:color w:val="auto"/>
          <w:highlight w:val="none"/>
        </w:rPr>
        <w:t>关键技术指标与要求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568"/>
        <w:gridCol w:w="2174"/>
      </w:tblGrid>
      <w:tr w14:paraId="4494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2B71C99">
            <w:pPr>
              <w:pStyle w:val="8"/>
              <w:rPr>
                <w:rFonts w:hint="eastAsia" w:ascii="宋体" w:hAnsi="宋体" w:cs="宋体"/>
                <w:color w:val="auto"/>
                <w:highlight w:val="none"/>
              </w:rPr>
            </w:pPr>
            <w:r>
              <w:rPr>
                <w:rFonts w:hint="eastAsia" w:ascii="宋体" w:hAnsi="宋体" w:cs="宋体"/>
                <w:color w:val="auto"/>
                <w:highlight w:val="none"/>
              </w:rPr>
              <w:t>序号</w:t>
            </w:r>
          </w:p>
        </w:tc>
        <w:tc>
          <w:tcPr>
            <w:tcW w:w="6072" w:type="dxa"/>
            <w:noWrap w:val="0"/>
            <w:vAlign w:val="center"/>
          </w:tcPr>
          <w:p w14:paraId="2EB0C45B">
            <w:pPr>
              <w:pStyle w:val="8"/>
              <w:rPr>
                <w:rFonts w:hint="eastAsia" w:ascii="宋体" w:hAnsi="宋体" w:cs="宋体"/>
                <w:color w:val="auto"/>
                <w:highlight w:val="none"/>
              </w:rPr>
            </w:pPr>
            <w:r>
              <w:rPr>
                <w:rFonts w:hint="eastAsia" w:ascii="宋体" w:hAnsi="宋体" w:cs="宋体"/>
                <w:color w:val="auto"/>
                <w:highlight w:val="none"/>
              </w:rPr>
              <w:t>关键技术指标与要求</w:t>
            </w:r>
          </w:p>
        </w:tc>
        <w:tc>
          <w:tcPr>
            <w:tcW w:w="2368" w:type="dxa"/>
            <w:noWrap w:val="0"/>
            <w:vAlign w:val="center"/>
          </w:tcPr>
          <w:p w14:paraId="65C9E0D4">
            <w:pPr>
              <w:pStyle w:val="8"/>
              <w:rPr>
                <w:rFonts w:hint="eastAsia" w:ascii="宋体" w:hAnsi="宋体" w:cs="宋体"/>
                <w:color w:val="auto"/>
                <w:highlight w:val="none"/>
              </w:rPr>
            </w:pPr>
            <w:r>
              <w:rPr>
                <w:rFonts w:hint="eastAsia" w:ascii="宋体" w:hAnsi="宋体" w:cs="宋体"/>
                <w:color w:val="auto"/>
                <w:highlight w:val="none"/>
              </w:rPr>
              <w:t>备注</w:t>
            </w:r>
          </w:p>
        </w:tc>
      </w:tr>
      <w:tr w14:paraId="496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28" w:type="dxa"/>
            <w:noWrap w:val="0"/>
            <w:vAlign w:val="center"/>
          </w:tcPr>
          <w:p w14:paraId="36F0C685">
            <w:pPr>
              <w:pStyle w:val="8"/>
              <w:rPr>
                <w:rFonts w:hint="eastAsia" w:ascii="宋体" w:hAnsi="宋体" w:cs="宋体"/>
                <w:color w:val="auto"/>
                <w:highlight w:val="none"/>
              </w:rPr>
            </w:pPr>
            <w:r>
              <w:rPr>
                <w:rFonts w:hint="eastAsia" w:ascii="宋体" w:hAnsi="宋体" w:cs="宋体"/>
                <w:color w:val="auto"/>
                <w:highlight w:val="none"/>
              </w:rPr>
              <w:t>1</w:t>
            </w:r>
          </w:p>
        </w:tc>
        <w:tc>
          <w:tcPr>
            <w:tcW w:w="6072" w:type="dxa"/>
            <w:noWrap w:val="0"/>
            <w:vAlign w:val="center"/>
          </w:tcPr>
          <w:p w14:paraId="419C99BA">
            <w:pPr>
              <w:pStyle w:val="8"/>
              <w:jc w:val="left"/>
              <w:rPr>
                <w:rFonts w:hint="eastAsia" w:ascii="宋体" w:hAnsi="宋体" w:cs="宋体"/>
                <w:color w:val="auto"/>
                <w:highlight w:val="none"/>
              </w:rPr>
            </w:pPr>
            <w:r>
              <w:rPr>
                <w:rFonts w:hint="eastAsia" w:ascii="宋体" w:hAnsi="宋体" w:cs="宋体"/>
                <w:color w:val="auto"/>
                <w:highlight w:val="none"/>
              </w:rPr>
              <w:t>测试杜瓦材料主要选择无磁不锈钢，磁导率不高于1.2，材料厂商推荐选择知名厂家（推荐厂家</w:t>
            </w:r>
            <w:r>
              <w:rPr>
                <w:rFonts w:hint="eastAsia"/>
                <w:color w:val="auto"/>
                <w:highlight w:val="none"/>
              </w:rPr>
              <w:t>参照或相当于</w:t>
            </w:r>
            <w:r>
              <w:rPr>
                <w:rFonts w:hint="eastAsia" w:ascii="宋体" w:hAnsi="宋体" w:cs="宋体"/>
                <w:color w:val="auto"/>
                <w:highlight w:val="none"/>
              </w:rPr>
              <w:t>：太钢、宝钢、酒钢。1、进度款二时，需随主材合同提供材质证明和厂家信息；2、如选用推荐厂家以外的生产商，需提供能够证明质量能够达到推荐厂家的证明材料并征得甲方认可）。</w:t>
            </w:r>
          </w:p>
        </w:tc>
        <w:tc>
          <w:tcPr>
            <w:tcW w:w="2368" w:type="dxa"/>
            <w:noWrap w:val="0"/>
            <w:vAlign w:val="center"/>
          </w:tcPr>
          <w:p w14:paraId="2CFB3992">
            <w:pPr>
              <w:pStyle w:val="8"/>
              <w:rPr>
                <w:rFonts w:hint="eastAsia" w:ascii="宋体" w:hAnsi="宋体" w:cs="宋体"/>
                <w:color w:val="auto"/>
                <w:highlight w:val="none"/>
              </w:rPr>
            </w:pPr>
            <w:r>
              <w:rPr>
                <w:rFonts w:hint="eastAsia" w:ascii="宋体" w:hAnsi="宋体" w:cs="宋体"/>
                <w:color w:val="auto"/>
                <w:highlight w:val="none"/>
              </w:rPr>
              <w:t>如需更改，经甲方同意后方使用</w:t>
            </w:r>
          </w:p>
        </w:tc>
      </w:tr>
      <w:tr w14:paraId="0E69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noWrap w:val="0"/>
            <w:vAlign w:val="center"/>
          </w:tcPr>
          <w:p w14:paraId="49FCF29E">
            <w:pPr>
              <w:pStyle w:val="8"/>
              <w:rPr>
                <w:rFonts w:hint="eastAsia" w:ascii="宋体" w:hAnsi="宋体" w:cs="宋体"/>
                <w:color w:val="auto"/>
                <w:highlight w:val="none"/>
              </w:rPr>
            </w:pPr>
            <w:r>
              <w:rPr>
                <w:rFonts w:hint="eastAsia" w:ascii="宋体" w:hAnsi="宋体" w:cs="宋体"/>
                <w:color w:val="auto"/>
                <w:highlight w:val="none"/>
              </w:rPr>
              <w:t>2</w:t>
            </w:r>
          </w:p>
        </w:tc>
        <w:tc>
          <w:tcPr>
            <w:tcW w:w="6072" w:type="dxa"/>
            <w:noWrap w:val="0"/>
            <w:vAlign w:val="center"/>
          </w:tcPr>
          <w:p w14:paraId="16F599D6">
            <w:pPr>
              <w:pStyle w:val="8"/>
              <w:jc w:val="left"/>
              <w:rPr>
                <w:rFonts w:hint="eastAsia" w:ascii="宋体" w:hAnsi="宋体" w:cs="宋体"/>
                <w:color w:val="auto"/>
                <w:highlight w:val="none"/>
              </w:rPr>
            </w:pPr>
            <w:r>
              <w:rPr>
                <w:color w:val="auto"/>
                <w:szCs w:val="21"/>
                <w:highlight w:val="none"/>
              </w:rPr>
              <w:t>冷屏测试杜瓦需要容纳1/8真空室冷屏扇区、窗口冷屏及中上部冷屏等， 其空间尺寸不低于：Φ7.74m×11.65m，有效直段长度不低于7m，内部包容尺寸不低于3.3m（宽）×8.4m（高）。</w:t>
            </w:r>
          </w:p>
        </w:tc>
        <w:tc>
          <w:tcPr>
            <w:tcW w:w="2368" w:type="dxa"/>
            <w:noWrap w:val="0"/>
            <w:vAlign w:val="center"/>
          </w:tcPr>
          <w:p w14:paraId="0EE46456">
            <w:pPr>
              <w:pStyle w:val="8"/>
              <w:rPr>
                <w:rFonts w:hint="eastAsia" w:ascii="宋体" w:hAnsi="宋体" w:cs="宋体"/>
                <w:color w:val="auto"/>
                <w:highlight w:val="none"/>
              </w:rPr>
            </w:pPr>
            <w:r>
              <w:rPr>
                <w:rFonts w:hint="eastAsia" w:ascii="宋体" w:hAnsi="宋体" w:cs="宋体"/>
                <w:color w:val="auto"/>
                <w:highlight w:val="none"/>
              </w:rPr>
              <w:t>具体尺寸需</w:t>
            </w:r>
          </w:p>
          <w:p w14:paraId="7B71855E">
            <w:pPr>
              <w:pStyle w:val="8"/>
              <w:rPr>
                <w:rFonts w:hint="eastAsia" w:ascii="宋体" w:hAnsi="宋体" w:cs="宋体"/>
                <w:color w:val="auto"/>
                <w:highlight w:val="none"/>
              </w:rPr>
            </w:pPr>
            <w:r>
              <w:rPr>
                <w:rFonts w:hint="eastAsia" w:ascii="宋体" w:hAnsi="宋体" w:cs="宋体"/>
                <w:color w:val="auto"/>
                <w:highlight w:val="none"/>
              </w:rPr>
              <w:t>甲方核实</w:t>
            </w:r>
          </w:p>
        </w:tc>
      </w:tr>
      <w:tr w14:paraId="4FA3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28" w:type="dxa"/>
            <w:noWrap w:val="0"/>
            <w:vAlign w:val="center"/>
          </w:tcPr>
          <w:p w14:paraId="240DD868">
            <w:pPr>
              <w:pStyle w:val="8"/>
              <w:rPr>
                <w:rFonts w:hint="eastAsia" w:ascii="宋体" w:hAnsi="宋体" w:cs="宋体"/>
                <w:color w:val="auto"/>
                <w:highlight w:val="none"/>
              </w:rPr>
            </w:pPr>
            <w:r>
              <w:rPr>
                <w:rFonts w:hint="eastAsia" w:ascii="宋体" w:hAnsi="宋体" w:cs="宋体"/>
                <w:color w:val="auto"/>
                <w:highlight w:val="none"/>
              </w:rPr>
              <w:t>3</w:t>
            </w:r>
          </w:p>
        </w:tc>
        <w:tc>
          <w:tcPr>
            <w:tcW w:w="6072" w:type="dxa"/>
            <w:noWrap w:val="0"/>
            <w:vAlign w:val="center"/>
          </w:tcPr>
          <w:p w14:paraId="5BF34A76">
            <w:pPr>
              <w:pStyle w:val="8"/>
              <w:jc w:val="left"/>
              <w:rPr>
                <w:rFonts w:hint="eastAsia" w:ascii="宋体" w:hAnsi="宋体" w:cs="宋体"/>
                <w:color w:val="auto"/>
                <w:highlight w:val="none"/>
              </w:rPr>
            </w:pPr>
            <w:r>
              <w:rPr>
                <w:color w:val="auto"/>
                <w:szCs w:val="21"/>
                <w:highlight w:val="none"/>
              </w:rPr>
              <w:t>冷屏测试杜瓦暂设有</w:t>
            </w:r>
            <w:r>
              <w:rPr>
                <w:rFonts w:hint="eastAsia"/>
                <w:color w:val="auto"/>
                <w:szCs w:val="21"/>
                <w:highlight w:val="none"/>
              </w:rPr>
              <w:t>10</w:t>
            </w:r>
            <w:r>
              <w:rPr>
                <w:color w:val="auto"/>
                <w:szCs w:val="21"/>
                <w:highlight w:val="none"/>
              </w:rPr>
              <w:t>个窗口，用于连接外围设备，如电源系统，低温管道、真空设备、测量管道等。</w:t>
            </w:r>
          </w:p>
        </w:tc>
        <w:tc>
          <w:tcPr>
            <w:tcW w:w="2368" w:type="dxa"/>
            <w:noWrap w:val="0"/>
            <w:vAlign w:val="center"/>
          </w:tcPr>
          <w:p w14:paraId="1BF56E4A">
            <w:pPr>
              <w:pStyle w:val="8"/>
              <w:rPr>
                <w:rFonts w:hint="eastAsia" w:ascii="宋体" w:hAnsi="宋体" w:cs="宋体"/>
                <w:color w:val="auto"/>
                <w:highlight w:val="none"/>
              </w:rPr>
            </w:pPr>
            <w:r>
              <w:rPr>
                <w:rFonts w:hint="eastAsia" w:ascii="宋体" w:hAnsi="宋体" w:cs="宋体"/>
                <w:color w:val="auto"/>
                <w:highlight w:val="none"/>
              </w:rPr>
              <w:t>具体位置、数量及尺寸需甲方核实。如在中标人完成测试杜瓦的制造前，甲方如因实际工作需求而增加窗口数量（总数量≤15个），中标人应予以配合。因此产生的费用由中标人承担。</w:t>
            </w:r>
          </w:p>
        </w:tc>
      </w:tr>
      <w:tr w14:paraId="2DB5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28" w:type="dxa"/>
            <w:noWrap w:val="0"/>
            <w:vAlign w:val="center"/>
          </w:tcPr>
          <w:p w14:paraId="15970029">
            <w:pPr>
              <w:pStyle w:val="8"/>
              <w:rPr>
                <w:rFonts w:hint="eastAsia" w:ascii="宋体" w:hAnsi="宋体" w:cs="宋体"/>
                <w:color w:val="auto"/>
                <w:highlight w:val="none"/>
              </w:rPr>
            </w:pPr>
            <w:r>
              <w:rPr>
                <w:rFonts w:hint="eastAsia" w:ascii="宋体" w:hAnsi="宋体" w:cs="宋体"/>
                <w:color w:val="auto"/>
                <w:highlight w:val="none"/>
              </w:rPr>
              <w:t>4</w:t>
            </w:r>
          </w:p>
        </w:tc>
        <w:tc>
          <w:tcPr>
            <w:tcW w:w="6072" w:type="dxa"/>
            <w:noWrap w:val="0"/>
            <w:vAlign w:val="center"/>
          </w:tcPr>
          <w:p w14:paraId="59F397D5">
            <w:pPr>
              <w:pStyle w:val="8"/>
              <w:jc w:val="left"/>
              <w:rPr>
                <w:rFonts w:hint="eastAsia" w:ascii="宋体" w:hAnsi="宋体" w:cs="宋体"/>
                <w:color w:val="auto"/>
                <w:highlight w:val="none"/>
              </w:rPr>
            </w:pPr>
            <w:r>
              <w:rPr>
                <w:color w:val="auto"/>
                <w:szCs w:val="21"/>
                <w:highlight w:val="none"/>
              </w:rPr>
              <w:t>冷屏测试杜瓦共4层结构，层与层间</w:t>
            </w:r>
            <w:r>
              <w:rPr>
                <w:rFonts w:hint="eastAsia"/>
                <w:color w:val="auto"/>
                <w:szCs w:val="21"/>
                <w:highlight w:val="none"/>
              </w:rPr>
              <w:t>采用</w:t>
            </w:r>
            <w:r>
              <w:rPr>
                <w:color w:val="auto"/>
                <w:szCs w:val="21"/>
                <w:highlight w:val="none"/>
              </w:rPr>
              <w:t>氟橡胶圈密封。</w:t>
            </w:r>
            <w:r>
              <w:rPr>
                <w:rFonts w:hint="eastAsia"/>
                <w:color w:val="auto"/>
                <w:szCs w:val="21"/>
                <w:highlight w:val="none"/>
              </w:rPr>
              <w:t>并额外提供一套密封圈供甲方备用。</w:t>
            </w:r>
          </w:p>
        </w:tc>
        <w:tc>
          <w:tcPr>
            <w:tcW w:w="2368" w:type="dxa"/>
            <w:noWrap w:val="0"/>
            <w:vAlign w:val="center"/>
          </w:tcPr>
          <w:p w14:paraId="6B0FFBB2">
            <w:pPr>
              <w:pStyle w:val="8"/>
              <w:rPr>
                <w:rFonts w:hint="eastAsia" w:ascii="宋体" w:hAnsi="宋体" w:cs="宋体"/>
                <w:color w:val="auto"/>
                <w:highlight w:val="none"/>
              </w:rPr>
            </w:pPr>
            <w:r>
              <w:rPr>
                <w:rFonts w:hint="eastAsia" w:ascii="宋体" w:hAnsi="宋体" w:cs="宋体"/>
                <w:color w:val="auto"/>
                <w:highlight w:val="none"/>
              </w:rPr>
              <w:t>密封方案由制造商提供，甲方审核</w:t>
            </w:r>
          </w:p>
        </w:tc>
      </w:tr>
      <w:tr w14:paraId="1816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8" w:type="dxa"/>
            <w:noWrap w:val="0"/>
            <w:vAlign w:val="center"/>
          </w:tcPr>
          <w:p w14:paraId="2954705F">
            <w:pPr>
              <w:pStyle w:val="8"/>
              <w:rPr>
                <w:rFonts w:hint="eastAsia" w:ascii="宋体" w:hAnsi="宋体" w:cs="宋体"/>
                <w:color w:val="auto"/>
                <w:highlight w:val="none"/>
              </w:rPr>
            </w:pPr>
            <w:r>
              <w:rPr>
                <w:rFonts w:hint="eastAsia" w:ascii="宋体" w:hAnsi="宋体" w:cs="宋体"/>
                <w:color w:val="auto"/>
                <w:highlight w:val="none"/>
              </w:rPr>
              <w:t>5</w:t>
            </w:r>
          </w:p>
        </w:tc>
        <w:tc>
          <w:tcPr>
            <w:tcW w:w="6072" w:type="dxa"/>
            <w:noWrap w:val="0"/>
            <w:vAlign w:val="center"/>
          </w:tcPr>
          <w:p w14:paraId="16908555">
            <w:pPr>
              <w:pStyle w:val="8"/>
              <w:jc w:val="left"/>
              <w:rPr>
                <w:rFonts w:hint="eastAsia" w:ascii="宋体" w:hAnsi="宋体" w:cs="宋体"/>
                <w:color w:val="auto"/>
                <w:highlight w:val="none"/>
              </w:rPr>
            </w:pPr>
            <w:r>
              <w:rPr>
                <w:color w:val="auto"/>
                <w:szCs w:val="21"/>
                <w:highlight w:val="none"/>
              </w:rPr>
              <w:t>对于大型预装配加工件，平面度误差</w:t>
            </w:r>
            <w:r>
              <w:rPr>
                <w:rFonts w:hint="eastAsia"/>
                <w:color w:val="auto"/>
                <w:szCs w:val="21"/>
                <w:highlight w:val="none"/>
              </w:rPr>
              <w:t>≤2</w:t>
            </w:r>
            <w:r>
              <w:rPr>
                <w:color w:val="auto"/>
                <w:szCs w:val="21"/>
                <w:highlight w:val="none"/>
              </w:rPr>
              <w:t>mm，</w:t>
            </w:r>
            <w:r>
              <w:rPr>
                <w:rFonts w:hint="eastAsia"/>
                <w:color w:val="auto"/>
                <w:szCs w:val="21"/>
                <w:highlight w:val="none"/>
              </w:rPr>
              <w:t>层与层</w:t>
            </w:r>
            <w:r>
              <w:rPr>
                <w:color w:val="auto"/>
                <w:szCs w:val="21"/>
                <w:highlight w:val="none"/>
              </w:rPr>
              <w:t>连接法兰多段焊接</w:t>
            </w:r>
            <w:r>
              <w:rPr>
                <w:rFonts w:hint="eastAsia"/>
                <w:color w:val="auto"/>
                <w:szCs w:val="21"/>
                <w:highlight w:val="none"/>
              </w:rPr>
              <w:t>成型后</w:t>
            </w:r>
            <w:r>
              <w:rPr>
                <w:color w:val="auto"/>
                <w:szCs w:val="21"/>
                <w:highlight w:val="none"/>
              </w:rPr>
              <w:t>平面度误差</w:t>
            </w:r>
            <w:r>
              <w:rPr>
                <w:rFonts w:hint="eastAsia"/>
                <w:color w:val="auto"/>
                <w:szCs w:val="21"/>
                <w:highlight w:val="none"/>
              </w:rPr>
              <w:t>≤5</w:t>
            </w:r>
            <w:r>
              <w:rPr>
                <w:color w:val="auto"/>
                <w:szCs w:val="21"/>
                <w:highlight w:val="none"/>
              </w:rPr>
              <w:t>mm。</w:t>
            </w:r>
          </w:p>
        </w:tc>
        <w:tc>
          <w:tcPr>
            <w:tcW w:w="2368" w:type="dxa"/>
            <w:noWrap w:val="0"/>
            <w:vAlign w:val="center"/>
          </w:tcPr>
          <w:p w14:paraId="2099C4C6">
            <w:pPr>
              <w:pStyle w:val="8"/>
              <w:rPr>
                <w:rFonts w:hint="eastAsia" w:ascii="宋体" w:hAnsi="宋体" w:cs="宋体"/>
                <w:color w:val="auto"/>
                <w:highlight w:val="none"/>
              </w:rPr>
            </w:pPr>
            <w:r>
              <w:rPr>
                <w:rFonts w:hint="eastAsia" w:ascii="宋体" w:hAnsi="宋体" w:cs="宋体"/>
                <w:color w:val="auto"/>
                <w:highlight w:val="none"/>
              </w:rPr>
              <w:t>相关制造工艺方案由制造商提供</w:t>
            </w:r>
          </w:p>
        </w:tc>
      </w:tr>
      <w:tr w14:paraId="0C6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28" w:type="dxa"/>
            <w:noWrap w:val="0"/>
            <w:vAlign w:val="center"/>
          </w:tcPr>
          <w:p w14:paraId="660FE495">
            <w:pPr>
              <w:pStyle w:val="8"/>
              <w:rPr>
                <w:rFonts w:hint="eastAsia" w:ascii="宋体" w:hAnsi="宋体" w:cs="宋体"/>
                <w:color w:val="auto"/>
                <w:highlight w:val="none"/>
              </w:rPr>
            </w:pPr>
            <w:r>
              <w:rPr>
                <w:rFonts w:hint="eastAsia" w:ascii="宋体" w:hAnsi="宋体" w:cs="宋体"/>
                <w:color w:val="auto"/>
                <w:highlight w:val="none"/>
              </w:rPr>
              <w:t>6</w:t>
            </w:r>
          </w:p>
        </w:tc>
        <w:tc>
          <w:tcPr>
            <w:tcW w:w="6072" w:type="dxa"/>
            <w:noWrap w:val="0"/>
            <w:vAlign w:val="center"/>
          </w:tcPr>
          <w:p w14:paraId="5605F4BE">
            <w:pPr>
              <w:pStyle w:val="8"/>
              <w:jc w:val="left"/>
              <w:rPr>
                <w:rFonts w:hint="eastAsia" w:ascii="Times New Roman" w:hAnsi="Times New Roman" w:cs="Times New Roman"/>
                <w:color w:val="auto"/>
                <w:szCs w:val="21"/>
                <w:highlight w:val="none"/>
              </w:rPr>
            </w:pPr>
            <w:r>
              <w:rPr>
                <w:color w:val="auto"/>
                <w:szCs w:val="21"/>
                <w:highlight w:val="none"/>
              </w:rPr>
              <w:t>冷屏测试杜瓦内部支撑贯穿壳体，固定于地基，支撑需具有足够的强度和刚度，同时在压、弯组合载荷下有足够的稳定性。</w:t>
            </w:r>
          </w:p>
        </w:tc>
        <w:tc>
          <w:tcPr>
            <w:tcW w:w="2368" w:type="dxa"/>
            <w:noWrap w:val="0"/>
            <w:vAlign w:val="center"/>
          </w:tcPr>
          <w:p w14:paraId="75571C8C">
            <w:pPr>
              <w:pStyle w:val="8"/>
              <w:rPr>
                <w:rFonts w:hint="eastAsia" w:ascii="宋体" w:hAnsi="宋体" w:cs="宋体"/>
                <w:color w:val="auto"/>
                <w:highlight w:val="none"/>
              </w:rPr>
            </w:pPr>
            <w:r>
              <w:rPr>
                <w:rFonts w:hint="eastAsia" w:ascii="宋体" w:hAnsi="宋体" w:cs="宋体"/>
                <w:color w:val="auto"/>
                <w:highlight w:val="none"/>
              </w:rPr>
              <w:t>杜瓦支撑需考虑试验件支撑位置，支撑位置由甲方提供</w:t>
            </w:r>
          </w:p>
        </w:tc>
      </w:tr>
      <w:tr w14:paraId="1331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noWrap w:val="0"/>
            <w:vAlign w:val="center"/>
          </w:tcPr>
          <w:p w14:paraId="37CC7AD6">
            <w:pPr>
              <w:pStyle w:val="8"/>
              <w:rPr>
                <w:rFonts w:hint="eastAsia" w:ascii="宋体" w:hAnsi="宋体" w:cs="宋体"/>
                <w:color w:val="auto"/>
                <w:highlight w:val="none"/>
              </w:rPr>
            </w:pPr>
            <w:r>
              <w:rPr>
                <w:rFonts w:hint="eastAsia" w:ascii="宋体" w:hAnsi="宋体" w:cs="宋体"/>
                <w:color w:val="auto"/>
                <w:highlight w:val="none"/>
              </w:rPr>
              <w:t>7</w:t>
            </w:r>
          </w:p>
        </w:tc>
        <w:tc>
          <w:tcPr>
            <w:tcW w:w="6072" w:type="dxa"/>
            <w:noWrap w:val="0"/>
            <w:vAlign w:val="center"/>
          </w:tcPr>
          <w:p w14:paraId="6F90D1F3">
            <w:pPr>
              <w:pStyle w:val="8"/>
              <w:jc w:val="left"/>
              <w:rPr>
                <w:color w:val="auto"/>
                <w:szCs w:val="21"/>
                <w:highlight w:val="none"/>
              </w:rPr>
            </w:pPr>
            <w:r>
              <w:rPr>
                <w:color w:val="auto"/>
                <w:szCs w:val="21"/>
                <w:highlight w:val="none"/>
              </w:rPr>
              <w:t>所有密封焊缝需进行氦质谱检漏，</w:t>
            </w:r>
            <w:r>
              <w:rPr>
                <w:rFonts w:hint="eastAsia"/>
                <w:color w:val="auto"/>
                <w:szCs w:val="21"/>
                <w:highlight w:val="none"/>
              </w:rPr>
              <w:t>单条</w:t>
            </w:r>
            <w:r>
              <w:rPr>
                <w:color w:val="auto"/>
                <w:szCs w:val="21"/>
                <w:highlight w:val="none"/>
              </w:rPr>
              <w:t>焊缝漏率不大于1×10</w:t>
            </w:r>
            <w:r>
              <w:rPr>
                <w:color w:val="auto"/>
                <w:szCs w:val="21"/>
                <w:highlight w:val="none"/>
                <w:vertAlign w:val="superscript"/>
              </w:rPr>
              <w:t>-</w:t>
            </w:r>
            <w:r>
              <w:rPr>
                <w:rFonts w:hint="eastAsia"/>
                <w:color w:val="auto"/>
                <w:szCs w:val="21"/>
                <w:highlight w:val="none"/>
                <w:vertAlign w:val="superscript"/>
              </w:rPr>
              <w:t>9</w:t>
            </w:r>
            <w:r>
              <w:rPr>
                <w:color w:val="auto"/>
                <w:szCs w:val="21"/>
                <w:highlight w:val="none"/>
              </w:rPr>
              <w:t xml:space="preserve"> Pa·m3/s。</w:t>
            </w:r>
          </w:p>
          <w:p w14:paraId="7A7FB8B1">
            <w:pPr>
              <w:pStyle w:val="8"/>
              <w:jc w:val="left"/>
              <w:rPr>
                <w:color w:val="auto"/>
                <w:szCs w:val="21"/>
                <w:highlight w:val="none"/>
              </w:rPr>
            </w:pPr>
            <w:r>
              <w:rPr>
                <w:color w:val="auto"/>
                <w:szCs w:val="21"/>
                <w:highlight w:val="none"/>
              </w:rPr>
              <w:t>所有可拆卸密封法兰进行100%氦质谱检漏，漏率不大于1×10</w:t>
            </w:r>
            <w:r>
              <w:rPr>
                <w:color w:val="auto"/>
                <w:szCs w:val="21"/>
                <w:highlight w:val="none"/>
                <w:vertAlign w:val="superscript"/>
              </w:rPr>
              <w:t>-</w:t>
            </w:r>
            <w:r>
              <w:rPr>
                <w:rFonts w:hint="eastAsia"/>
                <w:color w:val="auto"/>
                <w:szCs w:val="21"/>
                <w:highlight w:val="none"/>
                <w:vertAlign w:val="superscript"/>
              </w:rPr>
              <w:t>9</w:t>
            </w:r>
            <w:r>
              <w:rPr>
                <w:color w:val="auto"/>
                <w:szCs w:val="21"/>
                <w:highlight w:val="none"/>
              </w:rPr>
              <w:t xml:space="preserve"> Pa·m3/s。</w:t>
            </w:r>
          </w:p>
          <w:p w14:paraId="5DD7ACD9">
            <w:pPr>
              <w:pStyle w:val="8"/>
              <w:jc w:val="left"/>
              <w:rPr>
                <w:rFonts w:hint="eastAsia" w:ascii="宋体" w:hAnsi="宋体" w:cs="宋体"/>
                <w:color w:val="auto"/>
                <w:highlight w:val="none"/>
              </w:rPr>
            </w:pPr>
            <w:r>
              <w:rPr>
                <w:color w:val="auto"/>
                <w:szCs w:val="21"/>
                <w:highlight w:val="none"/>
              </w:rPr>
              <w:t>完成的冷屏测试杜瓦应进行气密性整体检测，要求空载杜瓦整体漏率小于1×10</w:t>
            </w:r>
            <w:r>
              <w:rPr>
                <w:color w:val="auto"/>
                <w:szCs w:val="21"/>
                <w:highlight w:val="none"/>
                <w:vertAlign w:val="superscript"/>
              </w:rPr>
              <w:t>-</w:t>
            </w:r>
            <w:r>
              <w:rPr>
                <w:rFonts w:hint="eastAsia"/>
                <w:color w:val="auto"/>
                <w:szCs w:val="21"/>
                <w:highlight w:val="none"/>
                <w:vertAlign w:val="superscript"/>
              </w:rPr>
              <w:t>7</w:t>
            </w:r>
            <w:r>
              <w:rPr>
                <w:color w:val="auto"/>
                <w:szCs w:val="21"/>
                <w:highlight w:val="none"/>
              </w:rPr>
              <w:t>Pa·m3/s，真空度≤1.0×10</w:t>
            </w:r>
            <w:r>
              <w:rPr>
                <w:color w:val="auto"/>
                <w:szCs w:val="21"/>
                <w:highlight w:val="none"/>
                <w:vertAlign w:val="superscript"/>
              </w:rPr>
              <w:t>-3</w:t>
            </w:r>
            <w:r>
              <w:rPr>
                <w:color w:val="auto"/>
                <w:szCs w:val="21"/>
                <w:highlight w:val="none"/>
              </w:rPr>
              <w:t>Pa 。</w:t>
            </w:r>
          </w:p>
        </w:tc>
        <w:tc>
          <w:tcPr>
            <w:tcW w:w="2368" w:type="dxa"/>
            <w:noWrap w:val="0"/>
            <w:vAlign w:val="center"/>
          </w:tcPr>
          <w:p w14:paraId="057BCE47">
            <w:pPr>
              <w:pStyle w:val="8"/>
              <w:rPr>
                <w:rFonts w:hint="eastAsia" w:ascii="宋体" w:hAnsi="宋体" w:cs="宋体"/>
                <w:color w:val="auto"/>
                <w:highlight w:val="none"/>
              </w:rPr>
            </w:pPr>
            <w:r>
              <w:rPr>
                <w:rFonts w:hint="eastAsia" w:ascii="宋体" w:hAnsi="宋体" w:cs="宋体"/>
                <w:color w:val="auto"/>
                <w:highlight w:val="none"/>
              </w:rPr>
              <w:t>制造商提供验收方案，（整体现场验收时，真空设备甲方另行准备，现场测试）需经甲方同意，验收时出具检测报告1份</w:t>
            </w:r>
          </w:p>
        </w:tc>
      </w:tr>
      <w:tr w14:paraId="7AD8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8" w:type="dxa"/>
            <w:noWrap w:val="0"/>
            <w:vAlign w:val="center"/>
          </w:tcPr>
          <w:p w14:paraId="56C1767B">
            <w:pPr>
              <w:pStyle w:val="8"/>
              <w:rPr>
                <w:rFonts w:hint="eastAsia" w:ascii="宋体" w:hAnsi="宋体" w:cs="宋体"/>
                <w:color w:val="auto"/>
                <w:highlight w:val="none"/>
              </w:rPr>
            </w:pPr>
            <w:r>
              <w:rPr>
                <w:rFonts w:hint="eastAsia" w:ascii="宋体" w:hAnsi="宋体" w:cs="宋体"/>
                <w:color w:val="auto"/>
                <w:highlight w:val="none"/>
              </w:rPr>
              <w:t>8</w:t>
            </w:r>
          </w:p>
        </w:tc>
        <w:tc>
          <w:tcPr>
            <w:tcW w:w="6072" w:type="dxa"/>
            <w:noWrap w:val="0"/>
            <w:vAlign w:val="center"/>
          </w:tcPr>
          <w:p w14:paraId="060F8313">
            <w:pPr>
              <w:pStyle w:val="8"/>
              <w:jc w:val="left"/>
              <w:rPr>
                <w:rFonts w:hint="eastAsia" w:ascii="宋体" w:hAnsi="宋体" w:cs="宋体"/>
                <w:color w:val="auto"/>
                <w:highlight w:val="none"/>
              </w:rPr>
            </w:pPr>
            <w:r>
              <w:rPr>
                <w:color w:val="auto"/>
                <w:szCs w:val="21"/>
                <w:highlight w:val="none"/>
              </w:rPr>
              <w:t>杜瓦内表面清洁抛光处理，无油无脂。</w:t>
            </w:r>
          </w:p>
        </w:tc>
        <w:tc>
          <w:tcPr>
            <w:tcW w:w="2368" w:type="dxa"/>
            <w:noWrap w:val="0"/>
            <w:vAlign w:val="center"/>
          </w:tcPr>
          <w:p w14:paraId="62719862">
            <w:pPr>
              <w:pStyle w:val="8"/>
              <w:rPr>
                <w:rFonts w:hint="eastAsia" w:ascii="宋体" w:hAnsi="宋体" w:cs="宋体"/>
                <w:color w:val="auto"/>
                <w:highlight w:val="none"/>
              </w:rPr>
            </w:pPr>
            <w:r>
              <w:rPr>
                <w:rFonts w:hint="eastAsia" w:ascii="宋体" w:hAnsi="宋体" w:cs="宋体"/>
                <w:color w:val="auto"/>
                <w:highlight w:val="none"/>
              </w:rPr>
              <w:t>验收时出具检测报告1份</w:t>
            </w:r>
          </w:p>
        </w:tc>
      </w:tr>
      <w:tr w14:paraId="1B91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7812820">
            <w:pPr>
              <w:pStyle w:val="8"/>
              <w:rPr>
                <w:rFonts w:hint="eastAsia" w:ascii="宋体" w:hAnsi="宋体" w:cs="宋体"/>
                <w:color w:val="auto"/>
                <w:highlight w:val="none"/>
              </w:rPr>
            </w:pPr>
            <w:r>
              <w:rPr>
                <w:rFonts w:hint="eastAsia" w:ascii="宋体" w:hAnsi="宋体" w:cs="宋体"/>
                <w:color w:val="auto"/>
                <w:highlight w:val="none"/>
              </w:rPr>
              <w:t>9</w:t>
            </w:r>
          </w:p>
        </w:tc>
        <w:tc>
          <w:tcPr>
            <w:tcW w:w="6072" w:type="dxa"/>
            <w:noWrap w:val="0"/>
            <w:vAlign w:val="center"/>
          </w:tcPr>
          <w:p w14:paraId="0EEF9718">
            <w:pPr>
              <w:pStyle w:val="8"/>
              <w:jc w:val="left"/>
              <w:rPr>
                <w:rFonts w:hint="eastAsia" w:ascii="宋体" w:hAnsi="宋体" w:cs="宋体"/>
                <w:color w:val="auto"/>
                <w:highlight w:val="none"/>
              </w:rPr>
            </w:pPr>
            <w:r>
              <w:rPr>
                <w:color w:val="auto"/>
                <w:szCs w:val="21"/>
                <w:highlight w:val="none"/>
              </w:rPr>
              <w:t>杜瓦表面涂敷按照GB/T 4711规定，喷砂等级为Sa 2.0级</w:t>
            </w:r>
          </w:p>
        </w:tc>
        <w:tc>
          <w:tcPr>
            <w:tcW w:w="2368" w:type="dxa"/>
            <w:noWrap w:val="0"/>
            <w:vAlign w:val="center"/>
          </w:tcPr>
          <w:p w14:paraId="7E23F800">
            <w:pPr>
              <w:pStyle w:val="8"/>
              <w:rPr>
                <w:rFonts w:hint="eastAsia" w:ascii="宋体" w:hAnsi="宋体" w:cs="宋体"/>
                <w:color w:val="auto"/>
                <w:highlight w:val="none"/>
              </w:rPr>
            </w:pPr>
          </w:p>
        </w:tc>
      </w:tr>
      <w:tr w14:paraId="044C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828" w:type="dxa"/>
            <w:noWrap w:val="0"/>
            <w:vAlign w:val="center"/>
          </w:tcPr>
          <w:p w14:paraId="481827A0">
            <w:pPr>
              <w:pStyle w:val="8"/>
              <w:rPr>
                <w:rFonts w:hint="eastAsia" w:ascii="宋体" w:hAnsi="宋体" w:cs="宋体"/>
                <w:color w:val="auto"/>
                <w:highlight w:val="none"/>
              </w:rPr>
            </w:pPr>
            <w:r>
              <w:rPr>
                <w:rFonts w:hint="eastAsia" w:ascii="宋体" w:hAnsi="宋体" w:cs="宋体"/>
                <w:color w:val="auto"/>
                <w:highlight w:val="none"/>
              </w:rPr>
              <w:t>10</w:t>
            </w:r>
          </w:p>
        </w:tc>
        <w:tc>
          <w:tcPr>
            <w:tcW w:w="6072" w:type="dxa"/>
            <w:noWrap w:val="0"/>
            <w:vAlign w:val="center"/>
          </w:tcPr>
          <w:p w14:paraId="731D2A22">
            <w:pPr>
              <w:pStyle w:val="8"/>
              <w:jc w:val="left"/>
              <w:rPr>
                <w:rFonts w:hint="eastAsia" w:ascii="宋体" w:hAnsi="宋体" w:cs="宋体"/>
                <w:color w:val="auto"/>
                <w:highlight w:val="none"/>
              </w:rPr>
            </w:pPr>
            <w:r>
              <w:rPr>
                <w:color w:val="auto"/>
                <w:szCs w:val="21"/>
                <w:highlight w:val="none"/>
              </w:rPr>
              <w:t>对于杜瓦设计进行有限元分析验证（含强度分析，稳定性分析等）（GB/T 4732-2024</w:t>
            </w:r>
            <w:r>
              <w:rPr>
                <w:color w:val="auto"/>
                <w:szCs w:val="21"/>
                <w:highlight w:val="none"/>
              </w:rPr>
              <w:tab/>
            </w:r>
            <w:r>
              <w:rPr>
                <w:color w:val="auto"/>
                <w:szCs w:val="21"/>
                <w:highlight w:val="none"/>
              </w:rPr>
              <w:t>压力容器分析设计》）</w:t>
            </w:r>
          </w:p>
        </w:tc>
        <w:tc>
          <w:tcPr>
            <w:tcW w:w="2368" w:type="dxa"/>
            <w:noWrap w:val="0"/>
            <w:vAlign w:val="center"/>
          </w:tcPr>
          <w:p w14:paraId="1C3D93DF">
            <w:pPr>
              <w:pStyle w:val="8"/>
              <w:rPr>
                <w:rFonts w:hint="eastAsia" w:ascii="宋体" w:hAnsi="宋体" w:cs="宋体"/>
                <w:color w:val="auto"/>
                <w:highlight w:val="none"/>
              </w:rPr>
            </w:pPr>
            <w:r>
              <w:rPr>
                <w:rFonts w:hint="eastAsia" w:ascii="宋体" w:hAnsi="宋体" w:cs="宋体"/>
                <w:color w:val="auto"/>
                <w:highlight w:val="none"/>
              </w:rPr>
              <w:t>制造加工前出具详细设计分析报告1份</w:t>
            </w:r>
          </w:p>
        </w:tc>
      </w:tr>
      <w:tr w14:paraId="2F67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noWrap w:val="0"/>
            <w:vAlign w:val="center"/>
          </w:tcPr>
          <w:p w14:paraId="53DDBD63">
            <w:pPr>
              <w:pStyle w:val="8"/>
              <w:rPr>
                <w:rFonts w:ascii="宋体" w:hAnsi="宋体" w:cs="宋体"/>
                <w:color w:val="auto"/>
                <w:highlight w:val="none"/>
              </w:rPr>
            </w:pPr>
            <w:r>
              <w:rPr>
                <w:rFonts w:hint="eastAsia" w:ascii="宋体" w:hAnsi="宋体" w:cs="宋体"/>
                <w:color w:val="auto"/>
                <w:highlight w:val="none"/>
              </w:rPr>
              <w:t>11</w:t>
            </w:r>
          </w:p>
        </w:tc>
        <w:tc>
          <w:tcPr>
            <w:tcW w:w="6072" w:type="dxa"/>
            <w:noWrap w:val="0"/>
            <w:vAlign w:val="center"/>
          </w:tcPr>
          <w:p w14:paraId="5D0A7CE1">
            <w:pPr>
              <w:pStyle w:val="8"/>
              <w:jc w:val="left"/>
              <w:rPr>
                <w:rFonts w:hint="eastAsia" w:ascii="宋体" w:hAnsi="宋体" w:cs="宋体"/>
                <w:color w:val="auto"/>
                <w:highlight w:val="none"/>
              </w:rPr>
            </w:pPr>
            <w:r>
              <w:rPr>
                <w:color w:val="auto"/>
                <w:szCs w:val="21"/>
                <w:highlight w:val="none"/>
              </w:rPr>
              <w:t>冷屏测试杜瓦分段运输及储存，需提供相应运输及存放方案。</w:t>
            </w:r>
          </w:p>
        </w:tc>
        <w:tc>
          <w:tcPr>
            <w:tcW w:w="2368" w:type="dxa"/>
            <w:noWrap w:val="0"/>
            <w:vAlign w:val="center"/>
          </w:tcPr>
          <w:p w14:paraId="64AB920E">
            <w:pPr>
              <w:pStyle w:val="8"/>
              <w:rPr>
                <w:rFonts w:hint="eastAsia" w:ascii="宋体" w:hAnsi="宋体" w:cs="宋体"/>
                <w:color w:val="auto"/>
                <w:highlight w:val="none"/>
              </w:rPr>
            </w:pPr>
          </w:p>
        </w:tc>
      </w:tr>
      <w:tr w14:paraId="67F5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8" w:type="dxa"/>
            <w:noWrap w:val="0"/>
            <w:vAlign w:val="center"/>
          </w:tcPr>
          <w:p w14:paraId="54C7FE7F">
            <w:pPr>
              <w:pStyle w:val="8"/>
              <w:rPr>
                <w:rFonts w:hint="eastAsia" w:ascii="宋体" w:hAnsi="宋体" w:cs="宋体"/>
                <w:color w:val="auto"/>
                <w:highlight w:val="none"/>
              </w:rPr>
            </w:pPr>
            <w:r>
              <w:rPr>
                <w:rFonts w:hint="eastAsia" w:ascii="宋体" w:hAnsi="宋体" w:cs="宋体"/>
                <w:color w:val="auto"/>
                <w:highlight w:val="none"/>
              </w:rPr>
              <w:t>12</w:t>
            </w:r>
          </w:p>
        </w:tc>
        <w:tc>
          <w:tcPr>
            <w:tcW w:w="6072" w:type="dxa"/>
            <w:noWrap w:val="0"/>
            <w:vAlign w:val="center"/>
          </w:tcPr>
          <w:p w14:paraId="2F34E7DE">
            <w:pPr>
              <w:pStyle w:val="8"/>
              <w:jc w:val="left"/>
              <w:rPr>
                <w:rFonts w:hint="eastAsia" w:ascii="宋体" w:hAnsi="宋体" w:cs="宋体"/>
                <w:color w:val="auto"/>
                <w:highlight w:val="none"/>
              </w:rPr>
            </w:pPr>
            <w:r>
              <w:rPr>
                <w:color w:val="auto"/>
                <w:szCs w:val="21"/>
                <w:highlight w:val="none"/>
              </w:rPr>
              <w:t>冷屏测试杜瓦需提供现场装配及验收方案。</w:t>
            </w:r>
          </w:p>
        </w:tc>
        <w:tc>
          <w:tcPr>
            <w:tcW w:w="2368" w:type="dxa"/>
            <w:noWrap w:val="0"/>
            <w:vAlign w:val="center"/>
          </w:tcPr>
          <w:p w14:paraId="469AB0A8">
            <w:pPr>
              <w:pStyle w:val="8"/>
              <w:rPr>
                <w:rFonts w:hint="eastAsia" w:ascii="宋体" w:hAnsi="宋体" w:cs="宋体"/>
                <w:color w:val="auto"/>
                <w:highlight w:val="none"/>
              </w:rPr>
            </w:pPr>
          </w:p>
        </w:tc>
      </w:tr>
      <w:tr w14:paraId="2AF3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8" w:type="dxa"/>
            <w:noWrap w:val="0"/>
            <w:vAlign w:val="center"/>
          </w:tcPr>
          <w:p w14:paraId="3F094D57">
            <w:pPr>
              <w:pStyle w:val="8"/>
              <w:rPr>
                <w:rFonts w:hint="eastAsia" w:ascii="宋体" w:hAnsi="宋体" w:cs="宋体"/>
                <w:color w:val="auto"/>
                <w:highlight w:val="none"/>
              </w:rPr>
            </w:pPr>
            <w:r>
              <w:rPr>
                <w:rFonts w:hint="eastAsia" w:ascii="宋体" w:hAnsi="宋体" w:cs="宋体"/>
                <w:color w:val="auto"/>
                <w:highlight w:val="none"/>
              </w:rPr>
              <w:t>13</w:t>
            </w:r>
          </w:p>
        </w:tc>
        <w:tc>
          <w:tcPr>
            <w:tcW w:w="6072" w:type="dxa"/>
            <w:noWrap w:val="0"/>
            <w:vAlign w:val="center"/>
          </w:tcPr>
          <w:p w14:paraId="13854876">
            <w:pPr>
              <w:pStyle w:val="8"/>
              <w:jc w:val="left"/>
              <w:rPr>
                <w:rFonts w:hint="eastAsia" w:ascii="宋体" w:hAnsi="宋体" w:cs="宋体"/>
                <w:color w:val="auto"/>
                <w:highlight w:val="none"/>
              </w:rPr>
            </w:pPr>
            <w:r>
              <w:rPr>
                <w:color w:val="auto"/>
                <w:szCs w:val="21"/>
                <w:highlight w:val="none"/>
              </w:rPr>
              <w:t>冷屏测试杜瓦须兼容内部附件（冷屏/加热丝），实现磁体冷测试与真空部件烘烤测试。</w:t>
            </w:r>
          </w:p>
        </w:tc>
        <w:tc>
          <w:tcPr>
            <w:tcW w:w="2368" w:type="dxa"/>
            <w:noWrap w:val="0"/>
            <w:vAlign w:val="center"/>
          </w:tcPr>
          <w:p w14:paraId="7FBB2434">
            <w:pPr>
              <w:pStyle w:val="8"/>
              <w:rPr>
                <w:rFonts w:hint="eastAsia" w:ascii="宋体" w:hAnsi="宋体" w:cs="宋体"/>
                <w:color w:val="auto"/>
                <w:highlight w:val="none"/>
              </w:rPr>
            </w:pPr>
          </w:p>
        </w:tc>
      </w:tr>
      <w:tr w14:paraId="425E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8" w:type="dxa"/>
            <w:noWrap w:val="0"/>
            <w:vAlign w:val="center"/>
          </w:tcPr>
          <w:p w14:paraId="4D1F3C4A">
            <w:pPr>
              <w:pStyle w:val="8"/>
              <w:rPr>
                <w:rFonts w:hint="eastAsia" w:ascii="宋体" w:hAnsi="宋体" w:cs="宋体"/>
                <w:color w:val="auto"/>
                <w:highlight w:val="none"/>
              </w:rPr>
            </w:pPr>
            <w:r>
              <w:rPr>
                <w:rFonts w:hint="eastAsia" w:ascii="宋体" w:hAnsi="宋体" w:cs="宋体"/>
                <w:color w:val="auto"/>
                <w:highlight w:val="none"/>
              </w:rPr>
              <w:t>14</w:t>
            </w:r>
          </w:p>
        </w:tc>
        <w:tc>
          <w:tcPr>
            <w:tcW w:w="6072" w:type="dxa"/>
            <w:noWrap w:val="0"/>
            <w:vAlign w:val="center"/>
          </w:tcPr>
          <w:p w14:paraId="7279C45E">
            <w:pPr>
              <w:pStyle w:val="8"/>
              <w:jc w:val="left"/>
              <w:rPr>
                <w:color w:val="auto"/>
                <w:szCs w:val="21"/>
                <w:highlight w:val="none"/>
              </w:rPr>
            </w:pPr>
            <w:r>
              <w:rPr>
                <w:color w:val="auto"/>
                <w:szCs w:val="21"/>
                <w:highlight w:val="none"/>
              </w:rPr>
              <w:t>冷屏测试杜瓦</w:t>
            </w:r>
            <w:r>
              <w:rPr>
                <w:rFonts w:hint="eastAsia"/>
                <w:color w:val="auto"/>
                <w:szCs w:val="21"/>
                <w:highlight w:val="none"/>
              </w:rPr>
              <w:t>的安装、集成调试。含因测试杜瓦的安装相关的现场的设备基础。</w:t>
            </w:r>
          </w:p>
        </w:tc>
        <w:tc>
          <w:tcPr>
            <w:tcW w:w="2368" w:type="dxa"/>
            <w:noWrap w:val="0"/>
            <w:vAlign w:val="center"/>
          </w:tcPr>
          <w:p w14:paraId="41025D6F">
            <w:pPr>
              <w:pStyle w:val="8"/>
              <w:rPr>
                <w:rFonts w:hint="eastAsia" w:ascii="宋体" w:hAnsi="宋体" w:cs="宋体"/>
                <w:color w:val="auto"/>
                <w:highlight w:val="none"/>
              </w:rPr>
            </w:pPr>
          </w:p>
        </w:tc>
      </w:tr>
    </w:tbl>
    <w:p w14:paraId="2BF6F1FC">
      <w:pPr>
        <w:pStyle w:val="4"/>
        <w:spacing w:before="163" w:after="163" w:line="240" w:lineRule="auto"/>
        <w:jc w:val="left"/>
        <w:rPr>
          <w:b/>
          <w:bCs/>
          <w:color w:val="auto"/>
          <w:sz w:val="24"/>
          <w:szCs w:val="24"/>
          <w:highlight w:val="none"/>
        </w:rPr>
      </w:pPr>
      <w:bookmarkStart w:id="9" w:name="_Toc15602"/>
      <w:r>
        <w:rPr>
          <w:rFonts w:hint="eastAsia"/>
          <w:b/>
          <w:bCs/>
          <w:color w:val="auto"/>
          <w:sz w:val="24"/>
          <w:szCs w:val="24"/>
          <w:highlight w:val="none"/>
        </w:rPr>
        <w:t>2.4各部分技术指标与要求</w:t>
      </w:r>
      <w:bookmarkEnd w:id="9"/>
    </w:p>
    <w:p w14:paraId="602D6F43">
      <w:pPr>
        <w:pStyle w:val="5"/>
        <w:rPr>
          <w:color w:val="auto"/>
          <w:sz w:val="24"/>
          <w:highlight w:val="none"/>
          <w:lang w:eastAsia="zh-CN"/>
        </w:rPr>
      </w:pPr>
      <w:bookmarkStart w:id="10" w:name="_Toc12623"/>
      <w:r>
        <w:rPr>
          <w:rFonts w:hint="eastAsia"/>
          <w:color w:val="auto"/>
          <w:sz w:val="24"/>
          <w:highlight w:val="none"/>
          <w:lang w:eastAsia="zh-CN"/>
        </w:rPr>
        <w:t>2.4.1 测试杜瓦</w:t>
      </w:r>
      <w:bookmarkEnd w:id="10"/>
      <w:r>
        <w:rPr>
          <w:rFonts w:hint="eastAsia"/>
          <w:color w:val="auto"/>
          <w:sz w:val="24"/>
          <w:highlight w:val="none"/>
          <w:lang w:eastAsia="zh-CN"/>
        </w:rPr>
        <w:t>结构</w:t>
      </w:r>
    </w:p>
    <w:p w14:paraId="387F86A3">
      <w:pPr>
        <w:numPr>
          <w:ilvl w:val="0"/>
          <w:numId w:val="1"/>
        </w:numPr>
        <w:spacing w:line="360" w:lineRule="auto"/>
        <w:ind w:firstLine="0"/>
        <w:jc w:val="left"/>
        <w:rPr>
          <w:color w:val="auto"/>
          <w:highlight w:val="none"/>
        </w:rPr>
      </w:pPr>
      <w:r>
        <w:rPr>
          <w:rFonts w:ascii="宋体" w:hAnsi="宋体" w:cs="宋体"/>
          <w:color w:val="auto"/>
          <w:highlight w:val="none"/>
        </w:rPr>
        <w:t>杜瓦共4层结构，总体尺寸不低于：外径7.74m；高度11.65m，有效直段长度7m，包容尺寸不低于3.3m×8.4m</w:t>
      </w:r>
      <w:r>
        <w:rPr>
          <w:rFonts w:hint="eastAsia" w:ascii="宋体" w:hAnsi="宋体" w:cs="宋体"/>
          <w:color w:val="auto"/>
          <w:highlight w:val="none"/>
        </w:rPr>
        <w:t>。如图所示。</w:t>
      </w:r>
    </w:p>
    <w:p w14:paraId="47DCE085">
      <w:pPr>
        <w:spacing w:line="360" w:lineRule="auto"/>
        <w:ind w:left="420"/>
        <w:jc w:val="center"/>
        <w:rPr>
          <w:color w:val="auto"/>
          <w:highlight w:val="none"/>
        </w:rPr>
      </w:pPr>
      <w:r>
        <w:rPr>
          <w:color w:val="auto"/>
          <w:highlight w:val="none"/>
        </w:rPr>
        <w:drawing>
          <wp:inline distT="0" distB="0" distL="114300" distR="114300">
            <wp:extent cx="3368675" cy="2598420"/>
            <wp:effectExtent l="0" t="0" r="146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368675" cy="2598420"/>
                    </a:xfrm>
                    <a:prstGeom prst="rect">
                      <a:avLst/>
                    </a:prstGeom>
                    <a:noFill/>
                    <a:ln>
                      <a:noFill/>
                    </a:ln>
                  </pic:spPr>
                </pic:pic>
              </a:graphicData>
            </a:graphic>
          </wp:inline>
        </w:drawing>
      </w:r>
    </w:p>
    <w:p w14:paraId="3E900887">
      <w:pPr>
        <w:spacing w:line="360" w:lineRule="auto"/>
        <w:jc w:val="center"/>
        <w:rPr>
          <w:b/>
          <w:bCs/>
          <w:color w:val="auto"/>
          <w:highlight w:val="none"/>
        </w:rPr>
      </w:pPr>
      <w:r>
        <w:rPr>
          <w:rFonts w:hint="eastAsia"/>
          <w:b/>
          <w:bCs/>
          <w:color w:val="auto"/>
          <w:highlight w:val="none"/>
        </w:rPr>
        <w:t>图2.1 冷屏测试杜瓦示意图</w:t>
      </w:r>
    </w:p>
    <w:p w14:paraId="1D264437">
      <w:pPr>
        <w:numPr>
          <w:ilvl w:val="0"/>
          <w:numId w:val="1"/>
        </w:numPr>
        <w:spacing w:line="360" w:lineRule="auto"/>
        <w:ind w:firstLine="0"/>
        <w:jc w:val="left"/>
        <w:rPr>
          <w:rFonts w:hint="eastAsia" w:ascii="宋体" w:hAnsi="宋体" w:cs="宋体"/>
          <w:color w:val="auto"/>
          <w:highlight w:val="none"/>
        </w:rPr>
      </w:pPr>
      <w:r>
        <w:rPr>
          <w:rFonts w:hint="eastAsia" w:ascii="宋体" w:hAnsi="宋体" w:cs="宋体"/>
          <w:color w:val="auto"/>
          <w:highlight w:val="none"/>
        </w:rPr>
        <w:t>测试杜瓦原材料主要选择无磁不锈钢，磁导率＜1.2（原材料</w:t>
      </w:r>
      <w:r>
        <w:rPr>
          <w:rFonts w:hint="eastAsia" w:ascii="宋体" w:hAnsi="宋体" w:cs="宋体"/>
          <w:bCs/>
          <w:color w:val="auto"/>
          <w:szCs w:val="28"/>
          <w:highlight w:val="none"/>
        </w:rPr>
        <w:t>推荐厂家：太钢、宝钢、酒钢</w:t>
      </w:r>
      <w:r>
        <w:rPr>
          <w:rFonts w:hint="eastAsia" w:ascii="宋体" w:hAnsi="宋体" w:cs="宋体"/>
          <w:color w:val="auto"/>
          <w:highlight w:val="none"/>
        </w:rPr>
        <w:t>）。</w:t>
      </w:r>
    </w:p>
    <w:p w14:paraId="559FAB89">
      <w:pPr>
        <w:numPr>
          <w:ilvl w:val="0"/>
          <w:numId w:val="1"/>
        </w:numPr>
        <w:spacing w:line="360" w:lineRule="auto"/>
        <w:ind w:firstLine="0"/>
        <w:jc w:val="left"/>
        <w:rPr>
          <w:rFonts w:hint="eastAsia" w:ascii="宋体" w:hAnsi="宋体" w:cs="宋体"/>
          <w:color w:val="auto"/>
          <w:highlight w:val="none"/>
        </w:rPr>
      </w:pPr>
      <w:r>
        <w:rPr>
          <w:rFonts w:hint="eastAsia" w:ascii="宋体" w:hAnsi="宋体" w:cs="宋体"/>
          <w:color w:val="auto"/>
          <w:highlight w:val="none"/>
        </w:rPr>
        <w:t>杜瓦如果设计加强圈，加强圈需采用外部加强圈的方式，加强圈设计应满足相关设计标准（GB/T 150-2024）。</w:t>
      </w:r>
    </w:p>
    <w:p w14:paraId="0E53A9E8">
      <w:pPr>
        <w:numPr>
          <w:ilvl w:val="0"/>
          <w:numId w:val="1"/>
        </w:numPr>
        <w:spacing w:line="360" w:lineRule="auto"/>
        <w:ind w:firstLine="0"/>
        <w:jc w:val="left"/>
        <w:rPr>
          <w:rFonts w:hint="eastAsia" w:ascii="宋体" w:hAnsi="宋体" w:cs="宋体"/>
          <w:color w:val="auto"/>
          <w:highlight w:val="none"/>
        </w:rPr>
      </w:pPr>
      <w:r>
        <w:rPr>
          <w:rFonts w:hint="eastAsia" w:ascii="宋体" w:hAnsi="宋体" w:cs="宋体"/>
          <w:color w:val="auto"/>
          <w:highlight w:val="none"/>
        </w:rPr>
        <w:t>杜瓦盖应有专门吊点和工装设计，且具有足够的强度及刚度，避免因起吊造成整体结构失稳和断裂。</w:t>
      </w:r>
    </w:p>
    <w:p w14:paraId="4BC1D639">
      <w:pPr>
        <w:numPr>
          <w:ilvl w:val="0"/>
          <w:numId w:val="1"/>
        </w:numPr>
        <w:spacing w:line="360" w:lineRule="auto"/>
        <w:ind w:firstLine="0"/>
        <w:jc w:val="left"/>
        <w:rPr>
          <w:rFonts w:ascii="宋体" w:hAnsi="宋体" w:cs="宋体"/>
          <w:color w:val="auto"/>
          <w:highlight w:val="none"/>
        </w:rPr>
      </w:pPr>
      <w:r>
        <w:rPr>
          <w:rFonts w:hint="eastAsia" w:ascii="宋体" w:hAnsi="宋体" w:cs="宋体"/>
          <w:color w:val="auto"/>
          <w:highlight w:val="none"/>
        </w:rPr>
        <w:t>杜瓦内表面进行清洁抛光处理，所有密封面粗糙度小于1.6且不得有划痕损伤。</w:t>
      </w:r>
    </w:p>
    <w:p w14:paraId="0FCCA7D8">
      <w:pPr>
        <w:numPr>
          <w:ilvl w:val="0"/>
          <w:numId w:val="1"/>
        </w:numPr>
        <w:spacing w:line="360" w:lineRule="auto"/>
        <w:ind w:firstLine="0"/>
        <w:jc w:val="left"/>
        <w:rPr>
          <w:rFonts w:ascii="宋体" w:hAnsi="宋体" w:cs="宋体"/>
          <w:color w:val="auto"/>
          <w:highlight w:val="none"/>
        </w:rPr>
      </w:pPr>
      <w:r>
        <w:rPr>
          <w:rFonts w:ascii="宋体" w:hAnsi="宋体" w:cs="宋体"/>
          <w:color w:val="auto"/>
          <w:highlight w:val="none"/>
        </w:rPr>
        <w:t>杜瓦4层结构之间采用氟橡胶圈密封，密封圈尺寸及结构可参照现有杜瓦，法兰连接采用夹钳紧固，夹钳数量及预紧力设计需参照相关标准进行计算。</w:t>
      </w:r>
    </w:p>
    <w:p w14:paraId="311F8F2E">
      <w:pPr>
        <w:numPr>
          <w:ilvl w:val="0"/>
          <w:numId w:val="1"/>
        </w:numPr>
        <w:spacing w:line="360" w:lineRule="auto"/>
        <w:ind w:firstLine="0"/>
        <w:jc w:val="left"/>
        <w:rPr>
          <w:rFonts w:ascii="宋体" w:hAnsi="宋体" w:cs="宋体"/>
          <w:color w:val="auto"/>
          <w:highlight w:val="none"/>
        </w:rPr>
      </w:pPr>
      <w:r>
        <w:rPr>
          <w:rFonts w:ascii="宋体" w:hAnsi="宋体" w:cs="宋体"/>
          <w:color w:val="auto"/>
          <w:highlight w:val="none"/>
        </w:rPr>
        <w:t>杜瓦设</w:t>
      </w:r>
      <w:r>
        <w:rPr>
          <w:rFonts w:hint="eastAsia" w:ascii="宋体" w:hAnsi="宋体" w:cs="宋体"/>
          <w:color w:val="auto"/>
          <w:highlight w:val="none"/>
        </w:rPr>
        <w:t>约10</w:t>
      </w:r>
      <w:r>
        <w:rPr>
          <w:rFonts w:ascii="宋体" w:hAnsi="宋体" w:cs="宋体"/>
          <w:color w:val="auto"/>
          <w:highlight w:val="none"/>
        </w:rPr>
        <w:t>个窗口（中标后，甲方核实），且每个窗口设有相应盲盖和密封。</w:t>
      </w:r>
    </w:p>
    <w:p w14:paraId="75E30872">
      <w:pPr>
        <w:numPr>
          <w:ilvl w:val="0"/>
          <w:numId w:val="1"/>
        </w:numPr>
        <w:spacing w:line="360" w:lineRule="auto"/>
        <w:ind w:firstLine="0"/>
        <w:jc w:val="left"/>
        <w:rPr>
          <w:rFonts w:ascii="宋体" w:hAnsi="宋体" w:cs="宋体"/>
          <w:color w:val="auto"/>
          <w:highlight w:val="none"/>
        </w:rPr>
      </w:pPr>
      <w:r>
        <w:rPr>
          <w:rFonts w:ascii="宋体" w:hAnsi="宋体" w:cs="宋体"/>
          <w:color w:val="auto"/>
          <w:highlight w:val="none"/>
        </w:rPr>
        <w:t>对于杜瓦设计进行有限元分析验证（含强度分析，稳定性分析等）《GB/T 4732-2024 压力容器分析设计》。</w:t>
      </w:r>
    </w:p>
    <w:p w14:paraId="593EE069">
      <w:pPr>
        <w:numPr>
          <w:ilvl w:val="0"/>
          <w:numId w:val="1"/>
        </w:numPr>
        <w:spacing w:line="360" w:lineRule="auto"/>
        <w:ind w:firstLine="0"/>
        <w:jc w:val="left"/>
        <w:rPr>
          <w:rFonts w:ascii="宋体" w:hAnsi="宋体" w:cs="宋体"/>
          <w:color w:val="auto"/>
          <w:highlight w:val="none"/>
        </w:rPr>
      </w:pPr>
      <w:r>
        <w:rPr>
          <w:rFonts w:ascii="宋体" w:hAnsi="宋体" w:cs="宋体"/>
          <w:color w:val="auto"/>
          <w:highlight w:val="none"/>
        </w:rPr>
        <w:t>杜瓦内部支撑需具有足够的强度和刚度，内部支撑贯穿壳体固定于地基，同时在压、弯组合载荷下有足够的稳定性。</w:t>
      </w:r>
    </w:p>
    <w:p w14:paraId="2237F605">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54363"/>
    <w:multiLevelType w:val="singleLevel"/>
    <w:tmpl w:val="7F35436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C77E2"/>
    <w:rsid w:val="773C7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4">
    <w:name w:val="heading 2"/>
    <w:basedOn w:val="3"/>
    <w:next w:val="1"/>
    <w:qFormat/>
    <w:uiPriority w:val="9"/>
    <w:pPr>
      <w:keepNext/>
      <w:keepLines/>
      <w:spacing w:before="260" w:beforeLines="0" w:after="260" w:afterLines="0" w:line="416" w:lineRule="auto"/>
      <w:outlineLvl w:val="1"/>
    </w:pPr>
    <w:rPr>
      <w:rFonts w:ascii="Cambria" w:hAnsi="Cambria"/>
      <w:b w:val="0"/>
      <w:bCs w:val="0"/>
      <w:sz w:val="32"/>
      <w:szCs w:val="32"/>
    </w:rPr>
  </w:style>
  <w:style w:type="paragraph" w:styleId="5">
    <w:name w:val="heading 3"/>
    <w:basedOn w:val="1"/>
    <w:next w:val="1"/>
    <w:qFormat/>
    <w:uiPriority w:val="0"/>
    <w:pPr>
      <w:keepNext/>
      <w:keepLines/>
      <w:widowControl/>
      <w:snapToGrid w:val="0"/>
      <w:spacing w:line="360" w:lineRule="auto"/>
      <w:jc w:val="left"/>
      <w:outlineLvl w:val="2"/>
    </w:pPr>
    <w:rPr>
      <w:rFonts w:ascii="宋体" w:hAnsi="宋体"/>
      <w:b/>
      <w:bCs/>
      <w:kern w:val="0"/>
      <w:sz w:val="28"/>
      <w:lang w:eastAsia="en-US" w:bidi="en-US"/>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 w:type="paragraph" w:customStyle="1" w:styleId="8">
    <w:name w:val="图表内容"/>
    <w:basedOn w:val="1"/>
    <w:qFormat/>
    <w:uiPriority w:val="0"/>
    <w:pPr>
      <w:adjustRightInd w:val="0"/>
      <w:snapToGrid w:val="0"/>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2026-04-30T04:15:00Z</dcterms:created>
  <dc:creator>宋方方</dc:creator>
  <cp:lastModifiedBy>宋方方</cp:lastModifiedBy>
  <dcterms:modified xsi:type="dcterms:W3CDTF">2026-04-30T04:15:41Z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32DB4E24D6B64BB48C07DFDE97CEC3D2_11</vt:lpwstr>
  </property>
  <property fmtid="{D5CDD505-2E9C-101B-9397-08002B2CF9AE}" pid="4" name="KSOTemplateDocerSaveRecord">
    <vt:lpwstr>eyJoZGlkIjoiY2ZjZDI4YmRkZDY3MGZmNjNjY2JiZTFlYmI4OWM0ZWEiLCJ1c2VySWQiOiIxNzYzODEyODI4In0=</vt:lpwstr>
  </property>
</Properties>
</file>