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3944A4">
      <w:pPr>
        <w:pStyle w:val="2"/>
        <w:jc w:val="center"/>
        <w:rPr>
          <w:color w:val="auto"/>
          <w:highlight w:val="none"/>
        </w:rPr>
      </w:pPr>
      <w:r>
        <w:rPr>
          <w:rFonts w:hint="eastAsia"/>
          <w:color w:val="auto"/>
          <w:highlight w:val="none"/>
        </w:rPr>
        <w:t>采购需求及技术规格要求</w:t>
      </w:r>
    </w:p>
    <w:p w14:paraId="442CD3AE">
      <w:pPr>
        <w:widowControl/>
        <w:adjustRightInd w:val="0"/>
        <w:snapToGrid w:val="0"/>
        <w:spacing w:before="320" w:line="360" w:lineRule="auto"/>
        <w:outlineLvl w:val="0"/>
        <w:rPr>
          <w:rFonts w:eastAsia="黑体"/>
          <w:color w:val="auto"/>
          <w:kern w:val="44"/>
          <w:sz w:val="32"/>
          <w:szCs w:val="44"/>
          <w:highlight w:val="none"/>
        </w:rPr>
      </w:pPr>
      <w:bookmarkStart w:id="0" w:name="_Toc221784019"/>
      <w:bookmarkStart w:id="1" w:name="_Toc121557704"/>
      <w:bookmarkStart w:id="2" w:name="_Hlk221874753"/>
      <w:r>
        <w:rPr>
          <w:rFonts w:eastAsia="黑体"/>
          <w:color w:val="auto"/>
          <w:kern w:val="44"/>
          <w:sz w:val="32"/>
          <w:szCs w:val="44"/>
          <w:highlight w:val="none"/>
        </w:rPr>
        <w:t xml:space="preserve">1 </w:t>
      </w:r>
      <w:bookmarkStart w:id="3" w:name="_Hlk221874402"/>
      <w:bookmarkStart w:id="4" w:name="_Hlk221874083"/>
      <w:r>
        <w:rPr>
          <w:rFonts w:eastAsia="黑体"/>
          <w:color w:val="auto"/>
          <w:kern w:val="44"/>
          <w:sz w:val="32"/>
          <w:szCs w:val="44"/>
          <w:highlight w:val="none"/>
        </w:rPr>
        <w:t>项目名称</w:t>
      </w:r>
      <w:bookmarkEnd w:id="0"/>
      <w:bookmarkEnd w:id="1"/>
      <w:bookmarkEnd w:id="3"/>
    </w:p>
    <w:bookmarkEnd w:id="2"/>
    <w:p w14:paraId="512DD193">
      <w:pPr>
        <w:widowControl/>
        <w:adjustRightInd w:val="0"/>
        <w:snapToGrid w:val="0"/>
        <w:spacing w:before="100" w:line="360" w:lineRule="auto"/>
        <w:ind w:firstLine="480" w:firstLineChars="200"/>
        <w:rPr>
          <w:color w:val="auto"/>
          <w:sz w:val="24"/>
          <w:highlight w:val="none"/>
        </w:rPr>
      </w:pPr>
      <w:bookmarkStart w:id="5" w:name="OLE_LINK26"/>
      <w:bookmarkStart w:id="6" w:name="_Toc121557705"/>
      <w:r>
        <w:rPr>
          <w:color w:val="auto"/>
          <w:sz w:val="24"/>
          <w:highlight w:val="none"/>
        </w:rPr>
        <w:t>高温锂铅腐蚀回路</w:t>
      </w:r>
    </w:p>
    <w:bookmarkEnd w:id="5"/>
    <w:p w14:paraId="65FAE2B5">
      <w:pPr>
        <w:widowControl/>
        <w:adjustRightInd w:val="0"/>
        <w:snapToGrid w:val="0"/>
        <w:spacing w:before="320" w:line="360" w:lineRule="auto"/>
        <w:outlineLvl w:val="0"/>
        <w:rPr>
          <w:rFonts w:eastAsia="黑体"/>
          <w:color w:val="auto"/>
          <w:kern w:val="44"/>
          <w:sz w:val="32"/>
          <w:szCs w:val="44"/>
          <w:highlight w:val="none"/>
        </w:rPr>
      </w:pPr>
      <w:bookmarkStart w:id="7" w:name="_Toc221784020"/>
      <w:r>
        <w:rPr>
          <w:rFonts w:eastAsia="黑体"/>
          <w:color w:val="auto"/>
          <w:kern w:val="44"/>
          <w:sz w:val="32"/>
          <w:szCs w:val="44"/>
          <w:highlight w:val="none"/>
        </w:rPr>
        <w:t xml:space="preserve">2 </w:t>
      </w:r>
      <w:bookmarkStart w:id="8" w:name="_Hlk221874403"/>
      <w:r>
        <w:rPr>
          <w:rFonts w:eastAsia="黑体"/>
          <w:color w:val="auto"/>
          <w:kern w:val="44"/>
          <w:sz w:val="32"/>
          <w:szCs w:val="44"/>
          <w:highlight w:val="none"/>
        </w:rPr>
        <w:t>实施内容及招标范围</w:t>
      </w:r>
      <w:bookmarkEnd w:id="6"/>
      <w:bookmarkEnd w:id="7"/>
      <w:bookmarkEnd w:id="8"/>
    </w:p>
    <w:p w14:paraId="4B535AD2">
      <w:pPr>
        <w:widowControl/>
        <w:adjustRightInd w:val="0"/>
        <w:snapToGrid w:val="0"/>
        <w:spacing w:before="280" w:line="360" w:lineRule="auto"/>
        <w:outlineLvl w:val="1"/>
        <w:rPr>
          <w:rFonts w:eastAsia="黑体"/>
          <w:color w:val="auto"/>
          <w:sz w:val="30"/>
          <w:szCs w:val="32"/>
          <w:highlight w:val="none"/>
        </w:rPr>
      </w:pPr>
      <w:bookmarkStart w:id="9" w:name="_Toc221784021"/>
      <w:bookmarkStart w:id="10" w:name="_Toc121557706"/>
      <w:bookmarkStart w:id="11" w:name="_Toc25874"/>
      <w:r>
        <w:rPr>
          <w:rFonts w:eastAsia="黑体"/>
          <w:color w:val="auto"/>
          <w:sz w:val="30"/>
          <w:szCs w:val="32"/>
          <w:highlight w:val="none"/>
        </w:rPr>
        <w:t>2.1</w:t>
      </w:r>
      <w:bookmarkStart w:id="12" w:name="_Hlk221874404"/>
      <w:r>
        <w:rPr>
          <w:rFonts w:eastAsia="黑体"/>
          <w:color w:val="auto"/>
          <w:sz w:val="30"/>
          <w:szCs w:val="32"/>
          <w:highlight w:val="none"/>
        </w:rPr>
        <w:t>实施内容</w:t>
      </w:r>
      <w:bookmarkEnd w:id="9"/>
      <w:bookmarkEnd w:id="10"/>
      <w:bookmarkEnd w:id="11"/>
      <w:bookmarkEnd w:id="12"/>
    </w:p>
    <w:p w14:paraId="01256970">
      <w:pPr>
        <w:widowControl/>
        <w:adjustRightInd w:val="0"/>
        <w:snapToGrid w:val="0"/>
        <w:spacing w:before="100" w:line="360" w:lineRule="auto"/>
        <w:ind w:firstLine="480" w:firstLineChars="200"/>
        <w:rPr>
          <w:color w:val="auto"/>
          <w:sz w:val="24"/>
          <w:highlight w:val="none"/>
        </w:rPr>
      </w:pPr>
      <w:bookmarkStart w:id="13" w:name="_Hlk221874405"/>
      <w:r>
        <w:rPr>
          <w:color w:val="auto"/>
          <w:sz w:val="24"/>
          <w:highlight w:val="none"/>
        </w:rPr>
        <w:t>高温锂铅腐蚀回路的设计、加工、安装、调试、测试验收。</w:t>
      </w:r>
    </w:p>
    <w:bookmarkEnd w:id="13"/>
    <w:p w14:paraId="029AC16E">
      <w:pPr>
        <w:widowControl/>
        <w:adjustRightInd w:val="0"/>
        <w:snapToGrid w:val="0"/>
        <w:spacing w:before="280" w:line="360" w:lineRule="auto"/>
        <w:outlineLvl w:val="1"/>
        <w:rPr>
          <w:rFonts w:eastAsia="黑体"/>
          <w:color w:val="auto"/>
          <w:sz w:val="30"/>
          <w:szCs w:val="32"/>
          <w:highlight w:val="none"/>
        </w:rPr>
      </w:pPr>
      <w:bookmarkStart w:id="14" w:name="_Toc5293"/>
      <w:bookmarkStart w:id="15" w:name="_Toc221784022"/>
      <w:bookmarkStart w:id="16" w:name="_Toc121557707"/>
      <w:bookmarkStart w:id="17" w:name="_Hlk210746976"/>
      <w:r>
        <w:rPr>
          <w:rFonts w:eastAsia="黑体"/>
          <w:color w:val="auto"/>
          <w:sz w:val="30"/>
          <w:szCs w:val="32"/>
          <w:highlight w:val="none"/>
        </w:rPr>
        <w:t>2.2</w:t>
      </w:r>
      <w:bookmarkStart w:id="18" w:name="_Hlk221874406"/>
      <w:r>
        <w:rPr>
          <w:rFonts w:eastAsia="黑体"/>
          <w:color w:val="auto"/>
          <w:sz w:val="30"/>
          <w:szCs w:val="32"/>
          <w:highlight w:val="none"/>
        </w:rPr>
        <w:t>招标范围</w:t>
      </w:r>
      <w:bookmarkEnd w:id="14"/>
      <w:bookmarkEnd w:id="15"/>
      <w:bookmarkEnd w:id="16"/>
    </w:p>
    <w:bookmarkEnd w:id="17"/>
    <w:bookmarkEnd w:id="18"/>
    <w:p w14:paraId="7ECFEFC3">
      <w:pPr>
        <w:widowControl/>
        <w:adjustRightInd w:val="0"/>
        <w:snapToGrid w:val="0"/>
        <w:spacing w:before="100" w:line="360" w:lineRule="auto"/>
        <w:ind w:firstLine="480" w:firstLineChars="200"/>
        <w:rPr>
          <w:color w:val="auto"/>
          <w:sz w:val="24"/>
          <w:highlight w:val="none"/>
        </w:rPr>
      </w:pPr>
      <w:bookmarkStart w:id="19" w:name="_Hlk221874407"/>
      <w:bookmarkStart w:id="20" w:name="_Toc121557708"/>
      <w:r>
        <w:rPr>
          <w:color w:val="auto"/>
          <w:sz w:val="24"/>
          <w:highlight w:val="none"/>
        </w:rPr>
        <w:t>采购一套高温锂铅腐蚀实验回路，内容包括实验装置的设计、加工、安装、</w:t>
      </w:r>
      <w:r>
        <w:rPr>
          <w:rFonts w:hint="eastAsia"/>
          <w:color w:val="auto"/>
          <w:sz w:val="24"/>
          <w:highlight w:val="none"/>
        </w:rPr>
        <w:t>及</w:t>
      </w:r>
      <w:r>
        <w:rPr>
          <w:color w:val="auto"/>
          <w:sz w:val="24"/>
          <w:highlight w:val="none"/>
        </w:rPr>
        <w:t>调试验收。整套装置包括真空系统、惰性气体系统、锂铅循环回路（锂铅储罐、驱动泵、回热器、加热器、膨胀罐、冷却器、除杂设备、</w:t>
      </w:r>
      <w:r>
        <w:rPr>
          <w:rFonts w:hint="eastAsia"/>
          <w:color w:val="auto"/>
          <w:sz w:val="24"/>
          <w:highlight w:val="none"/>
        </w:rPr>
        <w:t>实验</w:t>
      </w:r>
      <w:r>
        <w:rPr>
          <w:color w:val="auto"/>
          <w:sz w:val="24"/>
          <w:highlight w:val="none"/>
        </w:rPr>
        <w:t>段）、伴热和温控系统、电气系统、控制系统、仪表与测量系统、手套箱。</w:t>
      </w:r>
    </w:p>
    <w:bookmarkEnd w:id="4"/>
    <w:bookmarkEnd w:id="19"/>
    <w:p w14:paraId="00970DAC">
      <w:pPr>
        <w:widowControl/>
        <w:adjustRightInd w:val="0"/>
        <w:snapToGrid w:val="0"/>
        <w:spacing w:before="320" w:line="360" w:lineRule="auto"/>
        <w:outlineLvl w:val="0"/>
        <w:rPr>
          <w:rFonts w:eastAsia="黑体"/>
          <w:color w:val="auto"/>
          <w:kern w:val="44"/>
          <w:sz w:val="32"/>
          <w:szCs w:val="44"/>
          <w:highlight w:val="none"/>
        </w:rPr>
      </w:pPr>
      <w:bookmarkStart w:id="21" w:name="_Toc221784023"/>
      <w:r>
        <w:rPr>
          <w:rFonts w:eastAsia="黑体"/>
          <w:color w:val="auto"/>
          <w:kern w:val="44"/>
          <w:sz w:val="32"/>
          <w:szCs w:val="44"/>
          <w:highlight w:val="none"/>
        </w:rPr>
        <w:t xml:space="preserve">3 </w:t>
      </w:r>
      <w:bookmarkStart w:id="22" w:name="_Hlk221874822"/>
      <w:r>
        <w:rPr>
          <w:rFonts w:eastAsia="黑体"/>
          <w:color w:val="auto"/>
          <w:kern w:val="44"/>
          <w:sz w:val="32"/>
          <w:szCs w:val="44"/>
          <w:highlight w:val="none"/>
        </w:rPr>
        <w:t>技术要求与指标</w:t>
      </w:r>
      <w:bookmarkEnd w:id="20"/>
      <w:bookmarkEnd w:id="21"/>
      <w:bookmarkEnd w:id="22"/>
    </w:p>
    <w:p w14:paraId="5D7DB7AD">
      <w:pPr>
        <w:widowControl/>
        <w:adjustRightInd w:val="0"/>
        <w:snapToGrid w:val="0"/>
        <w:spacing w:before="280" w:line="360" w:lineRule="auto"/>
        <w:outlineLvl w:val="1"/>
        <w:rPr>
          <w:rFonts w:eastAsia="黑体"/>
          <w:color w:val="auto"/>
          <w:sz w:val="30"/>
          <w:szCs w:val="32"/>
          <w:highlight w:val="none"/>
        </w:rPr>
      </w:pPr>
      <w:bookmarkStart w:id="23" w:name="_Toc221784024"/>
      <w:bookmarkStart w:id="24" w:name="_Toc121557709"/>
      <w:bookmarkStart w:id="25" w:name="_Hlk221874840"/>
      <w:r>
        <w:rPr>
          <w:rFonts w:eastAsia="黑体"/>
          <w:color w:val="auto"/>
          <w:sz w:val="30"/>
          <w:szCs w:val="32"/>
          <w:highlight w:val="none"/>
        </w:rPr>
        <w:t>3.1总体要求</w:t>
      </w:r>
      <w:bookmarkEnd w:id="23"/>
      <w:bookmarkEnd w:id="24"/>
    </w:p>
    <w:p w14:paraId="298EF49F">
      <w:pPr>
        <w:widowControl/>
        <w:numPr>
          <w:ilvl w:val="0"/>
          <w:numId w:val="1"/>
        </w:numPr>
        <w:adjustRightInd w:val="0"/>
        <w:snapToGrid w:val="0"/>
        <w:spacing w:line="360" w:lineRule="auto"/>
        <w:ind w:left="0" w:firstLine="480" w:firstLineChars="200"/>
        <w:rPr>
          <w:color w:val="auto"/>
          <w:sz w:val="24"/>
          <w:highlight w:val="none"/>
        </w:rPr>
      </w:pPr>
      <w:r>
        <w:rPr>
          <w:color w:val="auto"/>
          <w:sz w:val="24"/>
          <w:highlight w:val="none"/>
        </w:rPr>
        <w:t>回路设计寿命</w:t>
      </w:r>
      <w:r>
        <w:rPr>
          <w:color w:val="auto"/>
          <w:sz w:val="24"/>
          <w:highlight w:val="none"/>
        </w:rPr>
        <w:fldChar w:fldCharType="begin"/>
      </w:r>
      <w:r>
        <w:rPr>
          <w:color w:val="auto"/>
          <w:sz w:val="24"/>
          <w:highlight w:val="none"/>
        </w:rPr>
        <w:instrText xml:space="preserve"> QUOTE </w:instrText>
      </w:r>
      <w:r>
        <w:rPr>
          <w:color w:val="auto"/>
          <w:position w:val="-5"/>
          <w:highlight w:val="none"/>
        </w:rPr>
        <w:pict>
          <v:shape id="_x0000_i1025"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41A&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35541A&quot; wsp:rsidP=&quot;0035541A&quot;&gt;&lt;m:oMathPara&gt;&lt;m:oMath&gt;&lt;m:r&gt;&lt;w:rPr&gt;&lt;w:rFonts w:ascii=&quot;Cambria Math&quot; w:h-ansi=&quot;Cambria Math&quot;/&gt;&lt;wx:font wx:val=&quot;Cambria Math&quot;/&gt;&lt;w:i/&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color w:val="auto"/>
          <w:sz w:val="24"/>
          <w:highlight w:val="none"/>
        </w:rPr>
        <w:instrText xml:space="preserve"> </w:instrText>
      </w:r>
      <w:r>
        <w:rPr>
          <w:color w:val="auto"/>
          <w:sz w:val="24"/>
          <w:highlight w:val="none"/>
        </w:rPr>
        <w:fldChar w:fldCharType="separate"/>
      </w:r>
      <w:r>
        <w:rPr>
          <w:color w:val="auto"/>
          <w:position w:val="-5"/>
          <w:highlight w:val="none"/>
        </w:rPr>
        <w:pict>
          <v:shape id="_x0000_i1026"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41A&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35541A&quot; wsp:rsidP=&quot;0035541A&quot;&gt;&lt;m:oMathPara&gt;&lt;m:oMath&gt;&lt;m:r&gt;&lt;w:rPr&gt;&lt;w:rFonts w:ascii=&quot;Cambria Math&quot; w:h-ansi=&quot;Cambria Math&quot;/&gt;&lt;wx:font wx:val=&quot;Cambria Math&quot;/&gt;&lt;w:i/&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color w:val="auto"/>
          <w:sz w:val="24"/>
          <w:highlight w:val="none"/>
        </w:rPr>
        <w:fldChar w:fldCharType="end"/>
      </w:r>
      <w:r>
        <w:rPr>
          <w:color w:val="auto"/>
          <w:sz w:val="24"/>
          <w:highlight w:val="none"/>
        </w:rPr>
        <w:t>10年。</w:t>
      </w:r>
    </w:p>
    <w:p w14:paraId="11B3BA5E">
      <w:pPr>
        <w:widowControl/>
        <w:numPr>
          <w:ilvl w:val="0"/>
          <w:numId w:val="1"/>
        </w:numPr>
        <w:spacing w:line="360" w:lineRule="auto"/>
        <w:ind w:left="0" w:firstLine="480" w:firstLineChars="200"/>
        <w:rPr>
          <w:color w:val="auto"/>
          <w:sz w:val="24"/>
          <w:highlight w:val="none"/>
        </w:rPr>
      </w:pPr>
      <w:r>
        <w:rPr>
          <w:color w:val="auto"/>
          <w:sz w:val="24"/>
          <w:highlight w:val="none"/>
        </w:rPr>
        <w:t>单次</w:t>
      </w:r>
      <w:r>
        <w:rPr>
          <w:rFonts w:hint="eastAsia"/>
          <w:color w:val="auto"/>
          <w:sz w:val="24"/>
          <w:highlight w:val="none"/>
        </w:rPr>
        <w:t>腐蚀</w:t>
      </w:r>
      <w:r>
        <w:rPr>
          <w:color w:val="auto"/>
          <w:sz w:val="24"/>
          <w:highlight w:val="none"/>
        </w:rPr>
        <w:t>实验进行过程中（最长按10000 h计算），测试段不出现因为泄漏、设备损坏等故障。</w:t>
      </w:r>
    </w:p>
    <w:p w14:paraId="36C0A829">
      <w:pPr>
        <w:widowControl/>
        <w:adjustRightInd w:val="0"/>
        <w:snapToGrid w:val="0"/>
        <w:spacing w:before="280" w:line="360" w:lineRule="auto"/>
        <w:outlineLvl w:val="1"/>
        <w:rPr>
          <w:rFonts w:eastAsia="黑体"/>
          <w:color w:val="auto"/>
          <w:sz w:val="30"/>
          <w:szCs w:val="32"/>
          <w:highlight w:val="none"/>
        </w:rPr>
      </w:pPr>
      <w:bookmarkStart w:id="26" w:name="_Toc121557710"/>
      <w:bookmarkStart w:id="27" w:name="_Toc221784025"/>
      <w:r>
        <w:rPr>
          <w:rFonts w:eastAsia="黑体"/>
          <w:color w:val="auto"/>
          <w:sz w:val="30"/>
          <w:szCs w:val="32"/>
          <w:highlight w:val="none"/>
        </w:rPr>
        <w:t>3.2主要设计规范及标准</w:t>
      </w:r>
      <w:bookmarkEnd w:id="26"/>
      <w:bookmarkEnd w:id="27"/>
    </w:p>
    <w:p w14:paraId="02F2875B">
      <w:pPr>
        <w:widowControl/>
        <w:adjustRightInd w:val="0"/>
        <w:snapToGrid w:val="0"/>
        <w:spacing w:before="100" w:line="360" w:lineRule="auto"/>
        <w:ind w:firstLine="480" w:firstLineChars="200"/>
        <w:rPr>
          <w:color w:val="auto"/>
          <w:sz w:val="24"/>
          <w:highlight w:val="none"/>
        </w:rPr>
      </w:pPr>
      <w:r>
        <w:rPr>
          <w:color w:val="auto"/>
          <w:sz w:val="24"/>
          <w:highlight w:val="none"/>
        </w:rPr>
        <w:t>相关部件检查与测试工作除特别说明外，均须严格依照国家规定标准执行，具体依据文件及标准如下：</w:t>
      </w:r>
    </w:p>
    <w:p w14:paraId="4DCCF56D">
      <w:pPr>
        <w:adjustRightInd w:val="0"/>
        <w:snapToGrid w:val="0"/>
        <w:spacing w:before="100" w:line="360" w:lineRule="auto"/>
        <w:ind w:left="480"/>
        <w:rPr>
          <w:color w:val="auto"/>
          <w:sz w:val="24"/>
          <w:highlight w:val="none"/>
        </w:rPr>
      </w:pPr>
      <w:r>
        <w:rPr>
          <w:color w:val="auto"/>
          <w:sz w:val="24"/>
          <w:highlight w:val="none"/>
        </w:rPr>
        <w:t>HG/T 20570-1995 《化工装置工艺系统工程设计技术规定》</w:t>
      </w:r>
    </w:p>
    <w:p w14:paraId="5B9E244C">
      <w:pPr>
        <w:adjustRightInd w:val="0"/>
        <w:snapToGrid w:val="0"/>
        <w:spacing w:before="100" w:line="360" w:lineRule="auto"/>
        <w:ind w:left="480"/>
        <w:rPr>
          <w:color w:val="auto"/>
          <w:sz w:val="24"/>
          <w:highlight w:val="none"/>
        </w:rPr>
      </w:pPr>
      <w:r>
        <w:rPr>
          <w:color w:val="auto"/>
          <w:sz w:val="24"/>
          <w:highlight w:val="none"/>
        </w:rPr>
        <w:t>HG/T 20519-2009 《化工工艺设计施工图内容和深度统一规定》</w:t>
      </w:r>
    </w:p>
    <w:p w14:paraId="5E05A374">
      <w:pPr>
        <w:adjustRightInd w:val="0"/>
        <w:snapToGrid w:val="0"/>
        <w:spacing w:before="100" w:line="360" w:lineRule="auto"/>
        <w:ind w:left="480"/>
        <w:rPr>
          <w:color w:val="auto"/>
          <w:sz w:val="24"/>
          <w:highlight w:val="none"/>
        </w:rPr>
      </w:pPr>
      <w:r>
        <w:rPr>
          <w:color w:val="auto"/>
          <w:sz w:val="24"/>
          <w:highlight w:val="none"/>
        </w:rPr>
        <w:t>HG/T 20546-2009 《化工设备布置设计规定》HG/T20546.2-2009《化工装置设备布置设计工程规定》</w:t>
      </w:r>
    </w:p>
    <w:p w14:paraId="1A6795D2">
      <w:pPr>
        <w:widowControl/>
        <w:adjustRightInd w:val="0"/>
        <w:snapToGrid w:val="0"/>
        <w:spacing w:before="100" w:line="360" w:lineRule="auto"/>
        <w:ind w:left="480"/>
        <w:rPr>
          <w:color w:val="auto"/>
          <w:sz w:val="24"/>
          <w:highlight w:val="none"/>
        </w:rPr>
      </w:pPr>
      <w:r>
        <w:rPr>
          <w:color w:val="auto"/>
          <w:sz w:val="24"/>
          <w:highlight w:val="none"/>
        </w:rPr>
        <w:t>EN1012-2:1996+A1:2009 《压缩机和真空泵-安全性要求 第 2 部分： 真空泵》EN60204-1:2006 《机器的安全性-机器的电气设备 第一部分： 常规要求》</w:t>
      </w:r>
    </w:p>
    <w:p w14:paraId="6D434703">
      <w:pPr>
        <w:adjustRightInd w:val="0"/>
        <w:snapToGrid w:val="0"/>
        <w:spacing w:before="100" w:line="360" w:lineRule="auto"/>
        <w:ind w:left="480"/>
        <w:rPr>
          <w:color w:val="auto"/>
          <w:sz w:val="24"/>
          <w:highlight w:val="none"/>
        </w:rPr>
      </w:pPr>
      <w:r>
        <w:rPr>
          <w:color w:val="auto"/>
          <w:sz w:val="24"/>
          <w:highlight w:val="none"/>
        </w:rPr>
        <w:t>GB/T 14976-2012《流体输送用不锈钢无缝钢管》</w:t>
      </w:r>
    </w:p>
    <w:p w14:paraId="1DDB6518">
      <w:pPr>
        <w:adjustRightInd w:val="0"/>
        <w:snapToGrid w:val="0"/>
        <w:spacing w:before="100" w:line="360" w:lineRule="auto"/>
        <w:ind w:left="480"/>
        <w:rPr>
          <w:color w:val="auto"/>
          <w:sz w:val="24"/>
          <w:highlight w:val="none"/>
        </w:rPr>
      </w:pPr>
      <w:r>
        <w:rPr>
          <w:color w:val="auto"/>
          <w:sz w:val="24"/>
          <w:highlight w:val="none"/>
        </w:rPr>
        <w:t>GB/T 983-2012《不锈钢焊条》</w:t>
      </w:r>
    </w:p>
    <w:p w14:paraId="60EE0C7B">
      <w:pPr>
        <w:adjustRightInd w:val="0"/>
        <w:snapToGrid w:val="0"/>
        <w:spacing w:before="100" w:line="360" w:lineRule="auto"/>
        <w:ind w:left="480"/>
        <w:rPr>
          <w:color w:val="auto"/>
          <w:sz w:val="24"/>
          <w:highlight w:val="none"/>
        </w:rPr>
      </w:pPr>
      <w:r>
        <w:rPr>
          <w:color w:val="auto"/>
          <w:sz w:val="24"/>
          <w:highlight w:val="none"/>
        </w:rPr>
        <w:t>GB/T 12224-2015《钢制阀门一般要求》</w:t>
      </w:r>
    </w:p>
    <w:p w14:paraId="3D67F7A7">
      <w:pPr>
        <w:adjustRightInd w:val="0"/>
        <w:snapToGrid w:val="0"/>
        <w:spacing w:before="100" w:line="360" w:lineRule="auto"/>
        <w:ind w:left="480"/>
        <w:rPr>
          <w:color w:val="auto"/>
          <w:sz w:val="24"/>
          <w:highlight w:val="none"/>
        </w:rPr>
      </w:pPr>
      <w:r>
        <w:rPr>
          <w:color w:val="auto"/>
          <w:sz w:val="24"/>
          <w:highlight w:val="none"/>
        </w:rPr>
        <w:t>GB/T 12221-2005《金属阀门结构长度》</w:t>
      </w:r>
    </w:p>
    <w:p w14:paraId="0BB72EAF">
      <w:pPr>
        <w:adjustRightInd w:val="0"/>
        <w:snapToGrid w:val="0"/>
        <w:spacing w:before="100" w:line="360" w:lineRule="auto"/>
        <w:ind w:left="480"/>
        <w:rPr>
          <w:color w:val="auto"/>
          <w:sz w:val="24"/>
          <w:highlight w:val="none"/>
        </w:rPr>
      </w:pPr>
      <w:r>
        <w:rPr>
          <w:color w:val="auto"/>
          <w:sz w:val="24"/>
          <w:highlight w:val="none"/>
        </w:rPr>
        <w:t>HG/T 20592~20635-2009 《钢制管法兰、垫片、紧固件》</w:t>
      </w:r>
    </w:p>
    <w:p w14:paraId="6BF4B2B1">
      <w:pPr>
        <w:adjustRightInd w:val="0"/>
        <w:snapToGrid w:val="0"/>
        <w:spacing w:before="100" w:line="360" w:lineRule="auto"/>
        <w:ind w:left="480"/>
        <w:rPr>
          <w:color w:val="auto"/>
          <w:sz w:val="24"/>
          <w:highlight w:val="none"/>
        </w:rPr>
      </w:pPr>
      <w:r>
        <w:rPr>
          <w:color w:val="auto"/>
          <w:sz w:val="24"/>
          <w:highlight w:val="none"/>
        </w:rPr>
        <w:t>JB/T 2768-2010《阀门零部件高压管子、管件和阀门端部尺寸》</w:t>
      </w:r>
    </w:p>
    <w:p w14:paraId="2C9964C3">
      <w:pPr>
        <w:adjustRightInd w:val="0"/>
        <w:snapToGrid w:val="0"/>
        <w:spacing w:before="100" w:line="360" w:lineRule="auto"/>
        <w:ind w:left="480"/>
        <w:rPr>
          <w:color w:val="auto"/>
          <w:sz w:val="24"/>
          <w:highlight w:val="none"/>
        </w:rPr>
      </w:pPr>
      <w:r>
        <w:rPr>
          <w:color w:val="auto"/>
          <w:sz w:val="24"/>
          <w:highlight w:val="none"/>
        </w:rPr>
        <w:t>JB/T 8531-2013《阀门手动装置 技术条件》</w:t>
      </w:r>
    </w:p>
    <w:p w14:paraId="420983E5">
      <w:pPr>
        <w:adjustRightInd w:val="0"/>
        <w:snapToGrid w:val="0"/>
        <w:spacing w:before="100" w:line="360" w:lineRule="auto"/>
        <w:ind w:left="480"/>
        <w:rPr>
          <w:color w:val="auto"/>
          <w:sz w:val="24"/>
          <w:highlight w:val="none"/>
        </w:rPr>
      </w:pPr>
      <w:r>
        <w:rPr>
          <w:color w:val="auto"/>
          <w:sz w:val="24"/>
          <w:highlight w:val="none"/>
        </w:rPr>
        <w:t>GB/T 12241-2005《安全阀 一般要求》</w:t>
      </w:r>
    </w:p>
    <w:p w14:paraId="6BA6D75E">
      <w:pPr>
        <w:adjustRightInd w:val="0"/>
        <w:snapToGrid w:val="0"/>
        <w:spacing w:before="100" w:line="360" w:lineRule="auto"/>
        <w:ind w:left="480"/>
        <w:rPr>
          <w:color w:val="auto"/>
          <w:sz w:val="24"/>
          <w:highlight w:val="none"/>
        </w:rPr>
      </w:pPr>
      <w:r>
        <w:rPr>
          <w:color w:val="auto"/>
          <w:sz w:val="24"/>
          <w:highlight w:val="none"/>
        </w:rPr>
        <w:t>GB/T 12243-2005《弹簧直接载荷式安全阀》</w:t>
      </w:r>
    </w:p>
    <w:p w14:paraId="3B3F4F82">
      <w:pPr>
        <w:adjustRightInd w:val="0"/>
        <w:snapToGrid w:val="0"/>
        <w:spacing w:before="100" w:line="360" w:lineRule="auto"/>
        <w:ind w:left="480"/>
        <w:rPr>
          <w:color w:val="auto"/>
          <w:sz w:val="24"/>
          <w:highlight w:val="none"/>
        </w:rPr>
      </w:pPr>
      <w:r>
        <w:rPr>
          <w:color w:val="auto"/>
          <w:sz w:val="24"/>
          <w:highlight w:val="none"/>
        </w:rPr>
        <w:t>GB 50316-2000（2008版）《工业金属管道设计规范》</w:t>
      </w:r>
    </w:p>
    <w:p w14:paraId="0D04FB58">
      <w:pPr>
        <w:adjustRightInd w:val="0"/>
        <w:snapToGrid w:val="0"/>
        <w:spacing w:before="100" w:line="360" w:lineRule="auto"/>
        <w:ind w:left="480"/>
        <w:rPr>
          <w:color w:val="auto"/>
          <w:sz w:val="24"/>
          <w:highlight w:val="none"/>
        </w:rPr>
      </w:pPr>
      <w:r>
        <w:rPr>
          <w:color w:val="auto"/>
          <w:sz w:val="24"/>
          <w:highlight w:val="none"/>
        </w:rPr>
        <w:t>GB 50235-2010《工业金属管道工程施工规范》</w:t>
      </w:r>
    </w:p>
    <w:p w14:paraId="410BF091">
      <w:pPr>
        <w:widowControl/>
        <w:adjustRightInd w:val="0"/>
        <w:snapToGrid w:val="0"/>
        <w:spacing w:before="100" w:line="360" w:lineRule="auto"/>
        <w:ind w:left="480"/>
        <w:rPr>
          <w:color w:val="auto"/>
          <w:sz w:val="24"/>
          <w:highlight w:val="none"/>
        </w:rPr>
      </w:pPr>
      <w:r>
        <w:rPr>
          <w:color w:val="auto"/>
          <w:sz w:val="24"/>
          <w:highlight w:val="none"/>
        </w:rPr>
        <w:t>GB 50184-2011《工业金属管道工程施工质量验收规范》</w:t>
      </w:r>
    </w:p>
    <w:p w14:paraId="6BE98075">
      <w:pPr>
        <w:adjustRightInd w:val="0"/>
        <w:snapToGrid w:val="0"/>
        <w:spacing w:before="100" w:line="360" w:lineRule="auto"/>
        <w:ind w:left="480"/>
        <w:rPr>
          <w:color w:val="auto"/>
          <w:sz w:val="24"/>
          <w:highlight w:val="none"/>
        </w:rPr>
      </w:pPr>
      <w:r>
        <w:rPr>
          <w:color w:val="auto"/>
          <w:sz w:val="24"/>
          <w:highlight w:val="none"/>
        </w:rPr>
        <w:t>GB 50236-2011《现场设备、 工业管道焊接工程施工规范》</w:t>
      </w:r>
    </w:p>
    <w:p w14:paraId="534469BA">
      <w:pPr>
        <w:adjustRightInd w:val="0"/>
        <w:snapToGrid w:val="0"/>
        <w:spacing w:before="100" w:line="360" w:lineRule="auto"/>
        <w:ind w:left="480"/>
        <w:rPr>
          <w:color w:val="auto"/>
          <w:sz w:val="24"/>
          <w:highlight w:val="none"/>
        </w:rPr>
      </w:pPr>
      <w:r>
        <w:rPr>
          <w:color w:val="auto"/>
          <w:sz w:val="24"/>
          <w:highlight w:val="none"/>
        </w:rPr>
        <w:t>GB 50683-2011《现场设备、 工业管道焊接工程施工质量验收规范》</w:t>
      </w:r>
    </w:p>
    <w:p w14:paraId="58F2F2EF">
      <w:pPr>
        <w:adjustRightInd w:val="0"/>
        <w:snapToGrid w:val="0"/>
        <w:spacing w:before="100" w:line="360" w:lineRule="auto"/>
        <w:ind w:left="480"/>
        <w:rPr>
          <w:color w:val="auto"/>
          <w:sz w:val="24"/>
          <w:highlight w:val="none"/>
        </w:rPr>
      </w:pPr>
      <w:r>
        <w:rPr>
          <w:color w:val="auto"/>
          <w:sz w:val="24"/>
          <w:highlight w:val="none"/>
        </w:rPr>
        <w:t>GB 50231-2009《机械设备安装工程施工及验收通用规范》</w:t>
      </w:r>
    </w:p>
    <w:p w14:paraId="09C0CF20">
      <w:pPr>
        <w:adjustRightInd w:val="0"/>
        <w:snapToGrid w:val="0"/>
        <w:spacing w:before="100" w:line="360" w:lineRule="auto"/>
        <w:ind w:left="480"/>
        <w:rPr>
          <w:color w:val="auto"/>
          <w:sz w:val="24"/>
          <w:highlight w:val="none"/>
        </w:rPr>
      </w:pPr>
      <w:r>
        <w:rPr>
          <w:color w:val="auto"/>
          <w:sz w:val="24"/>
          <w:highlight w:val="none"/>
        </w:rPr>
        <w:t>GB/T 3280-2015《不锈钢冷轧钢板和钢带》</w:t>
      </w:r>
    </w:p>
    <w:p w14:paraId="253D0FE1">
      <w:pPr>
        <w:adjustRightInd w:val="0"/>
        <w:snapToGrid w:val="0"/>
        <w:spacing w:before="100" w:line="360" w:lineRule="auto"/>
        <w:ind w:left="480"/>
        <w:rPr>
          <w:color w:val="auto"/>
          <w:sz w:val="24"/>
          <w:highlight w:val="none"/>
        </w:rPr>
      </w:pPr>
      <w:r>
        <w:rPr>
          <w:color w:val="auto"/>
          <w:sz w:val="24"/>
          <w:highlight w:val="none"/>
        </w:rPr>
        <w:t>GB/T 4240-2009《不锈钢丝》</w:t>
      </w:r>
    </w:p>
    <w:p w14:paraId="4E815EAA">
      <w:pPr>
        <w:adjustRightInd w:val="0"/>
        <w:snapToGrid w:val="0"/>
        <w:spacing w:before="100" w:line="360" w:lineRule="auto"/>
        <w:ind w:left="480"/>
        <w:rPr>
          <w:color w:val="auto"/>
          <w:sz w:val="24"/>
          <w:highlight w:val="none"/>
        </w:rPr>
      </w:pPr>
      <w:r>
        <w:rPr>
          <w:color w:val="auto"/>
          <w:sz w:val="24"/>
          <w:highlight w:val="none"/>
        </w:rPr>
        <w:t>GB 845-2017《十字槽盘头自攻螺钉》</w:t>
      </w:r>
    </w:p>
    <w:p w14:paraId="4CA8092A">
      <w:pPr>
        <w:adjustRightInd w:val="0"/>
        <w:snapToGrid w:val="0"/>
        <w:spacing w:before="100" w:line="360" w:lineRule="auto"/>
        <w:ind w:left="480"/>
        <w:rPr>
          <w:color w:val="auto"/>
          <w:sz w:val="24"/>
          <w:highlight w:val="none"/>
        </w:rPr>
      </w:pPr>
      <w:r>
        <w:rPr>
          <w:color w:val="auto"/>
          <w:sz w:val="24"/>
          <w:highlight w:val="none"/>
        </w:rPr>
        <w:t>GB/T 1184-1996《形状和位置公差 未注公差值》</w:t>
      </w:r>
    </w:p>
    <w:p w14:paraId="2573871F">
      <w:pPr>
        <w:adjustRightInd w:val="0"/>
        <w:snapToGrid w:val="0"/>
        <w:spacing w:before="100" w:line="360" w:lineRule="auto"/>
        <w:ind w:left="480"/>
        <w:rPr>
          <w:color w:val="auto"/>
          <w:sz w:val="24"/>
          <w:highlight w:val="none"/>
        </w:rPr>
      </w:pPr>
      <w:r>
        <w:rPr>
          <w:color w:val="auto"/>
          <w:sz w:val="24"/>
          <w:highlight w:val="none"/>
        </w:rPr>
        <w:t>GB/T 1804-2000《一般公差 未注公差的线性和角度尺寸公差》</w:t>
      </w:r>
    </w:p>
    <w:p w14:paraId="0815BF08">
      <w:pPr>
        <w:adjustRightInd w:val="0"/>
        <w:snapToGrid w:val="0"/>
        <w:spacing w:before="100" w:line="360" w:lineRule="auto"/>
        <w:ind w:left="480"/>
        <w:rPr>
          <w:color w:val="auto"/>
          <w:sz w:val="24"/>
          <w:highlight w:val="none"/>
        </w:rPr>
      </w:pPr>
      <w:r>
        <w:rPr>
          <w:color w:val="auto"/>
          <w:sz w:val="24"/>
          <w:highlight w:val="none"/>
        </w:rPr>
        <w:t>NB/T 47013-2015《承压设备无损检测》</w:t>
      </w:r>
    </w:p>
    <w:p w14:paraId="79128C49">
      <w:pPr>
        <w:widowControl/>
        <w:adjustRightInd w:val="0"/>
        <w:snapToGrid w:val="0"/>
        <w:spacing w:before="100" w:line="360" w:lineRule="auto"/>
        <w:ind w:left="480"/>
        <w:rPr>
          <w:color w:val="auto"/>
          <w:sz w:val="24"/>
          <w:highlight w:val="none"/>
        </w:rPr>
      </w:pPr>
      <w:r>
        <w:rPr>
          <w:color w:val="auto"/>
          <w:sz w:val="24"/>
          <w:highlight w:val="none"/>
        </w:rPr>
        <w:t>NB/T 47013.8-2012《承压设备无损检测第8部分：泄露检测》</w:t>
      </w:r>
    </w:p>
    <w:p w14:paraId="55F34EDA">
      <w:pPr>
        <w:adjustRightInd w:val="0"/>
        <w:snapToGrid w:val="0"/>
        <w:spacing w:before="100" w:line="360" w:lineRule="auto"/>
        <w:ind w:left="480"/>
        <w:rPr>
          <w:color w:val="auto"/>
          <w:sz w:val="24"/>
          <w:highlight w:val="none"/>
        </w:rPr>
      </w:pPr>
      <w:r>
        <w:rPr>
          <w:color w:val="auto"/>
          <w:sz w:val="24"/>
          <w:highlight w:val="none"/>
        </w:rPr>
        <w:t>EN1012-2:1996+A1:2009《压缩机和真空泵-安全性要求第2部分：真空泵》</w:t>
      </w:r>
    </w:p>
    <w:p w14:paraId="290E4D88">
      <w:pPr>
        <w:adjustRightInd w:val="0"/>
        <w:snapToGrid w:val="0"/>
        <w:spacing w:before="100" w:line="360" w:lineRule="auto"/>
        <w:ind w:left="480"/>
        <w:rPr>
          <w:color w:val="auto"/>
          <w:sz w:val="24"/>
          <w:highlight w:val="none"/>
        </w:rPr>
      </w:pPr>
      <w:r>
        <w:rPr>
          <w:color w:val="auto"/>
          <w:sz w:val="24"/>
          <w:highlight w:val="none"/>
        </w:rPr>
        <w:t>EN60204-1:2006《机器的安全性-机器的电气设备第一部分：常规要求》</w:t>
      </w:r>
    </w:p>
    <w:p w14:paraId="2D58D425">
      <w:pPr>
        <w:adjustRightInd w:val="0"/>
        <w:snapToGrid w:val="0"/>
        <w:spacing w:before="100" w:line="360" w:lineRule="auto"/>
        <w:ind w:left="480"/>
        <w:rPr>
          <w:color w:val="auto"/>
          <w:sz w:val="24"/>
          <w:highlight w:val="none"/>
        </w:rPr>
      </w:pPr>
      <w:r>
        <w:rPr>
          <w:color w:val="auto"/>
          <w:sz w:val="24"/>
          <w:highlight w:val="none"/>
        </w:rPr>
        <w:t>EN61000-6-4:2007/A1:2011《电磁兼容性（EMC）-第6-4部分：工业环境排放标准》</w:t>
      </w:r>
    </w:p>
    <w:p w14:paraId="6409FA9A">
      <w:pPr>
        <w:adjustRightInd w:val="0"/>
        <w:snapToGrid w:val="0"/>
        <w:spacing w:before="100" w:line="360" w:lineRule="auto"/>
        <w:ind w:left="480"/>
        <w:rPr>
          <w:color w:val="auto"/>
          <w:sz w:val="24"/>
          <w:highlight w:val="none"/>
        </w:rPr>
      </w:pPr>
      <w:r>
        <w:rPr>
          <w:color w:val="auto"/>
          <w:sz w:val="24"/>
          <w:highlight w:val="none"/>
        </w:rPr>
        <w:t>GB50185-2010《工业设备及管道绝热工程施工质量验收规范》；</w:t>
      </w:r>
    </w:p>
    <w:p w14:paraId="4829F4FA">
      <w:pPr>
        <w:widowControl/>
        <w:adjustRightInd w:val="0"/>
        <w:snapToGrid w:val="0"/>
        <w:spacing w:before="100" w:line="360" w:lineRule="auto"/>
        <w:ind w:left="480"/>
        <w:rPr>
          <w:color w:val="auto"/>
          <w:sz w:val="24"/>
          <w:highlight w:val="none"/>
        </w:rPr>
      </w:pPr>
      <w:r>
        <w:rPr>
          <w:color w:val="auto"/>
          <w:sz w:val="24"/>
          <w:highlight w:val="none"/>
        </w:rPr>
        <w:t>JB/T 4297-2021《泵产品涂漆技术条件》；</w:t>
      </w:r>
    </w:p>
    <w:p w14:paraId="3A11B3C5">
      <w:pPr>
        <w:widowControl/>
        <w:adjustRightInd w:val="0"/>
        <w:snapToGrid w:val="0"/>
        <w:spacing w:before="100" w:line="360" w:lineRule="auto"/>
        <w:ind w:left="480"/>
        <w:rPr>
          <w:color w:val="auto"/>
          <w:sz w:val="24"/>
          <w:highlight w:val="none"/>
        </w:rPr>
      </w:pPr>
      <w:r>
        <w:rPr>
          <w:color w:val="auto"/>
          <w:sz w:val="24"/>
          <w:highlight w:val="none"/>
        </w:rPr>
        <w:t>GB/T 29531-2013《泵的振动测量与评价方法》；</w:t>
      </w:r>
    </w:p>
    <w:p w14:paraId="5641DC14">
      <w:pPr>
        <w:widowControl/>
        <w:adjustRightInd w:val="0"/>
        <w:snapToGrid w:val="0"/>
        <w:spacing w:before="100" w:line="360" w:lineRule="auto"/>
        <w:ind w:left="480"/>
        <w:rPr>
          <w:color w:val="auto"/>
          <w:sz w:val="24"/>
          <w:highlight w:val="none"/>
        </w:rPr>
      </w:pPr>
      <w:r>
        <w:rPr>
          <w:color w:val="auto"/>
          <w:sz w:val="24"/>
          <w:highlight w:val="none"/>
        </w:rPr>
        <w:t>GB/T 29529-2013《泵的噪声测量与评价方法》；</w:t>
      </w:r>
    </w:p>
    <w:p w14:paraId="5FB0FE1E">
      <w:pPr>
        <w:widowControl/>
        <w:adjustRightInd w:val="0"/>
        <w:snapToGrid w:val="0"/>
        <w:spacing w:before="100" w:line="360" w:lineRule="auto"/>
        <w:ind w:left="480"/>
        <w:rPr>
          <w:color w:val="auto"/>
          <w:sz w:val="24"/>
          <w:highlight w:val="none"/>
        </w:rPr>
      </w:pPr>
      <w:r>
        <w:rPr>
          <w:color w:val="auto"/>
          <w:sz w:val="24"/>
          <w:highlight w:val="none"/>
        </w:rPr>
        <w:t>HB 7235-1995《慢应变速率应力腐蚀试验方法》；</w:t>
      </w:r>
    </w:p>
    <w:p w14:paraId="563ECCC5">
      <w:pPr>
        <w:widowControl/>
        <w:adjustRightInd w:val="0"/>
        <w:snapToGrid w:val="0"/>
        <w:spacing w:before="100" w:line="360" w:lineRule="auto"/>
        <w:ind w:left="480"/>
        <w:rPr>
          <w:color w:val="auto"/>
          <w:sz w:val="24"/>
          <w:highlight w:val="none"/>
        </w:rPr>
      </w:pPr>
      <w:r>
        <w:rPr>
          <w:color w:val="auto"/>
          <w:sz w:val="24"/>
          <w:highlight w:val="none"/>
        </w:rPr>
        <w:t>GB/T13384-2008《机电产品包装通用技术条件》。</w:t>
      </w:r>
    </w:p>
    <w:p w14:paraId="69D1C2BB">
      <w:pPr>
        <w:widowControl/>
        <w:adjustRightInd w:val="0"/>
        <w:snapToGrid w:val="0"/>
        <w:spacing w:before="100" w:line="360" w:lineRule="auto"/>
        <w:ind w:firstLine="480" w:firstLineChars="200"/>
        <w:rPr>
          <w:color w:val="auto"/>
          <w:sz w:val="24"/>
          <w:highlight w:val="none"/>
        </w:rPr>
      </w:pPr>
      <w:r>
        <w:rPr>
          <w:color w:val="auto"/>
          <w:sz w:val="24"/>
          <w:highlight w:val="none"/>
        </w:rPr>
        <w:t>以上所有标准与规范均使用最新有效版本。凡标准存在不一致时，以最高标准条款为准或按双方协商确定的标准执行。</w:t>
      </w:r>
    </w:p>
    <w:bookmarkEnd w:id="25"/>
    <w:p w14:paraId="52BA3EBD">
      <w:pPr>
        <w:adjustRightInd w:val="0"/>
        <w:snapToGrid w:val="0"/>
        <w:spacing w:before="100" w:line="360" w:lineRule="auto"/>
        <w:ind w:firstLine="480" w:firstLineChars="200"/>
        <w:rPr>
          <w:color w:val="auto"/>
          <w:sz w:val="24"/>
          <w:highlight w:val="none"/>
        </w:rPr>
      </w:pPr>
      <w:r>
        <w:rPr>
          <w:color w:val="auto"/>
          <w:sz w:val="24"/>
          <w:highlight w:val="none"/>
        </w:rPr>
        <w:t>此外，系统测试方法应满足相应的技术条件、图纸和标准，测试内容包括：无损探伤（包括射线检测和渗透检测）、压力检验及气密性检验，其测试方法如下：</w:t>
      </w:r>
    </w:p>
    <w:p w14:paraId="0E4DC5D7">
      <w:pPr>
        <w:adjustRightInd w:val="0"/>
        <w:snapToGrid w:val="0"/>
        <w:spacing w:before="100" w:line="360" w:lineRule="auto"/>
        <w:rPr>
          <w:color w:val="auto"/>
          <w:sz w:val="24"/>
          <w:highlight w:val="none"/>
        </w:rPr>
      </w:pPr>
      <w:r>
        <w:rPr>
          <w:color w:val="auto"/>
          <w:sz w:val="24"/>
          <w:highlight w:val="none"/>
        </w:rPr>
        <w:t>1，射线检测</w:t>
      </w:r>
    </w:p>
    <w:p w14:paraId="1D3381BC">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NB/T47013标准，参照《射线检测工艺规程》，文件编号：Q/NDE-HJ3201-2015</w:t>
      </w:r>
    </w:p>
    <w:p w14:paraId="2331BA7F">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RCCM2000+2002补遗标准，参照《焊缝射线检验工艺规程》，文件编号：Q_NDE-HJ3207-2015</w:t>
      </w:r>
    </w:p>
    <w:p w14:paraId="367EDD50">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ASME标准，参照《对接焊缝射线检验工艺规程》，文件编号：Q_NDE-HJ3215-2015</w:t>
      </w:r>
    </w:p>
    <w:p w14:paraId="7CA4901B">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NB/T20003标准参照《焊缝射线检验工艺规程》，文件编号：Q_NDE-HJ3223-2015</w:t>
      </w:r>
    </w:p>
    <w:p w14:paraId="2279EF4E">
      <w:pPr>
        <w:adjustRightInd w:val="0"/>
        <w:snapToGrid w:val="0"/>
        <w:spacing w:before="100" w:line="360" w:lineRule="auto"/>
        <w:rPr>
          <w:color w:val="auto"/>
          <w:sz w:val="24"/>
          <w:highlight w:val="none"/>
        </w:rPr>
      </w:pPr>
      <w:r>
        <w:rPr>
          <w:color w:val="auto"/>
          <w:sz w:val="24"/>
          <w:highlight w:val="none"/>
        </w:rPr>
        <w:t>2，渗透检测</w:t>
      </w:r>
    </w:p>
    <w:p w14:paraId="5D80884C">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NB/T47013标准，参照《渗透检测工艺规程》，文件编号：Q/NDE-HJ3204-2015</w:t>
      </w:r>
    </w:p>
    <w:p w14:paraId="29764D5E">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RCCM 2000+2002补遗标准，参照《焊缝渗透检验工艺规程》，文件编号：Q_NDE-HJ3208-2015</w:t>
      </w:r>
    </w:p>
    <w:p w14:paraId="7DEAE2A7">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ASME标准，参照《对接焊缝渗透检验工艺规程》，文件编号：Q_NDE-HJ3216-2015</w:t>
      </w:r>
    </w:p>
    <w:p w14:paraId="0E031BAA">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NB/T20003标准参照《焊缝渗透检验工艺规程》，文件编号：Q_NDE-HJ3224-2015</w:t>
      </w:r>
    </w:p>
    <w:p w14:paraId="39B44C5F">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3，压力测试</w:t>
      </w:r>
    </w:p>
    <w:p w14:paraId="21AE1CAE">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GB20801.5-2006《压力管道规范工业管道第 5 部分： 检验与试验》</w:t>
      </w:r>
    </w:p>
    <w:p w14:paraId="2912A090">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气密性检验</w:t>
      </w:r>
    </w:p>
    <w:p w14:paraId="3853081A">
      <w:pPr>
        <w:widowControl/>
        <w:numPr>
          <w:ilvl w:val="0"/>
          <w:numId w:val="2"/>
        </w:numPr>
        <w:adjustRightInd w:val="0"/>
        <w:snapToGrid w:val="0"/>
        <w:spacing w:before="100" w:line="360" w:lineRule="auto"/>
        <w:ind w:left="0" w:firstLine="480" w:firstLineChars="200"/>
        <w:rPr>
          <w:color w:val="auto"/>
          <w:sz w:val="24"/>
          <w:highlight w:val="none"/>
        </w:rPr>
      </w:pPr>
      <w:r>
        <w:rPr>
          <w:color w:val="auto"/>
          <w:sz w:val="24"/>
          <w:highlight w:val="none"/>
        </w:rPr>
        <w:t>HG/T20584-2011《钢制化工容器制造技术要求》</w:t>
      </w:r>
    </w:p>
    <w:p w14:paraId="046925F3">
      <w:pPr>
        <w:rPr>
          <w:rFonts w:hint="eastAsia"/>
          <w:color w:val="auto"/>
          <w:highlight w:val="none"/>
        </w:rPr>
      </w:pPr>
    </w:p>
    <w:p w14:paraId="7B6418EC">
      <w:pPr>
        <w:widowControl/>
        <w:adjustRightInd w:val="0"/>
        <w:snapToGrid w:val="0"/>
        <w:spacing w:before="280" w:line="360" w:lineRule="auto"/>
        <w:outlineLvl w:val="1"/>
        <w:rPr>
          <w:rFonts w:eastAsia="黑体"/>
          <w:color w:val="auto"/>
          <w:sz w:val="30"/>
          <w:szCs w:val="32"/>
          <w:highlight w:val="none"/>
        </w:rPr>
      </w:pPr>
      <w:bookmarkStart w:id="28" w:name="_Toc221784026"/>
      <w:bookmarkStart w:id="29" w:name="_Toc121557711"/>
      <w:r>
        <w:rPr>
          <w:rFonts w:eastAsia="黑体"/>
          <w:color w:val="auto"/>
          <w:sz w:val="30"/>
          <w:szCs w:val="32"/>
          <w:highlight w:val="none"/>
        </w:rPr>
        <w:t>3.3 总体技术指标与要求</w:t>
      </w:r>
      <w:bookmarkEnd w:id="28"/>
      <w:bookmarkEnd w:id="29"/>
    </w:p>
    <w:p w14:paraId="6A316414">
      <w:pPr>
        <w:keepNext/>
        <w:keepLines/>
        <w:adjustRightInd w:val="0"/>
        <w:spacing w:line="300" w:lineRule="auto"/>
        <w:outlineLvl w:val="2"/>
        <w:rPr>
          <w:rFonts w:eastAsia="黑体"/>
          <w:color w:val="auto"/>
          <w:sz w:val="30"/>
          <w:highlight w:val="none"/>
        </w:rPr>
      </w:pPr>
      <w:bookmarkStart w:id="30" w:name="_Toc221784027"/>
      <w:r>
        <w:rPr>
          <w:rFonts w:eastAsia="黑体"/>
          <w:color w:val="auto"/>
          <w:sz w:val="30"/>
          <w:highlight w:val="none"/>
        </w:rPr>
        <w:t>3.3.1 主要物性参数标准</w:t>
      </w:r>
      <w:bookmarkEnd w:id="30"/>
    </w:p>
    <w:p w14:paraId="5E6EEC8B">
      <w:pPr>
        <w:widowControl/>
        <w:adjustRightInd w:val="0"/>
        <w:snapToGrid w:val="0"/>
        <w:spacing w:line="360" w:lineRule="auto"/>
        <w:rPr>
          <w:b/>
          <w:bCs/>
          <w:color w:val="auto"/>
          <w:kern w:val="0"/>
          <w:sz w:val="24"/>
          <w:highlight w:val="none"/>
        </w:rPr>
      </w:pPr>
      <w:r>
        <w:rPr>
          <w:b/>
          <w:bCs/>
          <w:color w:val="auto"/>
          <w:kern w:val="0"/>
          <w:sz w:val="24"/>
          <w:highlight w:val="none"/>
        </w:rPr>
        <w:t>1.1 液态金属锂铅的密度按公式1计算</w:t>
      </w:r>
    </w:p>
    <w:p w14:paraId="0EC7229A">
      <w:pPr>
        <w:widowControl/>
        <w:adjustRightInd w:val="0"/>
        <w:snapToGrid w:val="0"/>
        <w:spacing w:line="360" w:lineRule="auto"/>
        <w:jc w:val="right"/>
        <w:rPr>
          <w:i/>
          <w:color w:val="auto"/>
          <w:kern w:val="0"/>
          <w:sz w:val="24"/>
          <w:highlight w:val="none"/>
        </w:rPr>
      </w:pP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27" o:spt="75" type="#_x0000_t75" style="height:13.9pt;width:235.9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4E2&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B34E2&quot; wsp:rsidP=&quot;006B34E2&quot;&gt;&lt;m:oMathPara&gt;&lt;m:oMath&gt;&lt;m:r&gt;&lt;w:rPr&gt;&lt;w:rFonts w:ascii=&quot;Cambria Math&quot; w:h-ansi=&quot;Cambria Math&quot;/&gt;&lt;wx:font wx:val=&quot;Cambria Math&quot;/&gt;&lt;w:i/&gt;&lt;w:kern w:val=&quot;0&quot;/&gt;&lt;w:sz w:val=&quot;24&quot;/&gt;&lt;/w:rPr&gt;&lt;m:t&gt;ρ&lt;/m:t&gt;&lt;/m:r&gt;&lt;m:d&gt;&lt;m:dPr&gt;&lt;m:ctrlPr&gt;&lt;w:rPr&gt;&lt;w:rFonts w:ascii=&quot;Cambria Math&quot; w:h-ansi=&quot;Cambria Math&quot;/&gt;&lt;wx:font wx:val=&quot;Cambria Math&quot;/&gt;&lt;w:i/&gt;&lt;w:kern w:val=&quot;0&quot;/&gt;&lt;w:sz w:val=&quot;24&quot;/&gt;&lt;/w:rPr&gt;&lt;/m:ctrlPr&gt;&lt;/m:dPr&gt;&lt;m:e&gt;&lt;m:r&gt;&lt;w:rPr&gt;&lt;w:rFonts w:ascii=&quot;Cambria Math&quot; w:h-ansi=&quot;Cambria Math&quot;/&gt;&lt;wx:font wx:val=&quot;Cambria Math&quot;/&gt;&lt;w:i/&gt;&lt;w:kern w:val=&quot;0&quot;/&gt;&lt;w:sz w:val=&quot;24&quot;/&gt;&lt;/w:rPr&gt;&lt;m:t&gt;17.0 at. % Li&lt;/m:t&gt;&lt;/m:r&gt;&lt;/m:e&gt;&lt;/m:d&gt;&lt;m:r&gt;&lt;w:rPr&gt;&lt;w:rFonts w:ascii=&quot;Cambria Math&quot; w:h-ansi=&quot;Cambria Math&quot;/&gt;&lt;wx:font wx:val=&quot;Cambria Math&quot;/&gt;&lt;w:i/&gt;&lt;w:kern w:val=&quot;0&quot;/&gt;&lt;w:sz w:val=&quot;24&quot;/&gt;&lt;/w:rPr&gt;&lt;m:t&gt;=10520.35-1.19051∙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28" o:spt="75" type="#_x0000_t75" style="height:13.9pt;width:235.9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4E2&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B34E2&quot; wsp:rsidP=&quot;006B34E2&quot;&gt;&lt;m:oMathPara&gt;&lt;m:oMath&gt;&lt;m:r&gt;&lt;w:rPr&gt;&lt;w:rFonts w:ascii=&quot;Cambria Math&quot; w:h-ansi=&quot;Cambria Math&quot;/&gt;&lt;wx:font wx:val=&quot;Cambria Math&quot;/&gt;&lt;w:i/&gt;&lt;w:kern w:val=&quot;0&quot;/&gt;&lt;w:sz w:val=&quot;24&quot;/&gt;&lt;/w:rPr&gt;&lt;m:t&gt;ρ&lt;/m:t&gt;&lt;/m:r&gt;&lt;m:d&gt;&lt;m:dPr&gt;&lt;m:ctrlPr&gt;&lt;w:rPr&gt;&lt;w:rFonts w:ascii=&quot;Cambria Math&quot; w:h-ansi=&quot;Cambria Math&quot;/&gt;&lt;wx:font wx:val=&quot;Cambria Math&quot;/&gt;&lt;w:i/&gt;&lt;w:kern w:val=&quot;0&quot;/&gt;&lt;w:sz w:val=&quot;24&quot;/&gt;&lt;/w:rPr&gt;&lt;/m:ctrlPr&gt;&lt;/m:dPr&gt;&lt;m:e&gt;&lt;m:r&gt;&lt;w:rPr&gt;&lt;w:rFonts w:ascii=&quot;Cambria Math&quot; w:h-ansi=&quot;Cambria Math&quot;/&gt;&lt;wx:font wx:val=&quot;Cambria Math&quot;/&gt;&lt;w:i/&gt;&lt;w:kern w:val=&quot;0&quot;/&gt;&lt;w:sz w:val=&quot;24&quot;/&gt;&lt;/w:rPr&gt;&lt;m:t&gt;17.0 at. % Li&lt;/m:t&gt;&lt;/m:r&gt;&lt;/m:e&gt;&lt;/m:d&gt;&lt;m:r&gt;&lt;w:rPr&gt;&lt;w:rFonts w:ascii=&quot;Cambria Math&quot; w:h-ansi=&quot;Cambria Math&quot;/&gt;&lt;wx:font wx:val=&quot;Cambria Math&quot;/&gt;&lt;w:i/&gt;&lt;w:kern w:val=&quot;0&quot;/&gt;&lt;w:sz w:val=&quot;24&quot;/&gt;&lt;/w:rPr&gt;&lt;m:t&gt;=10520.35-1.19051∙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hromakey="#FFFFFF" o:title=""/>
            <o:lock v:ext="edit" aspectratio="t"/>
            <w10:wrap type="none"/>
            <w10:anchorlock/>
          </v:shape>
        </w:pict>
      </w:r>
      <w:r>
        <w:rPr>
          <w:color w:val="auto"/>
          <w:kern w:val="0"/>
          <w:sz w:val="24"/>
          <w:highlight w:val="none"/>
        </w:rPr>
        <w:fldChar w:fldCharType="end"/>
      </w:r>
      <w:r>
        <w:rPr>
          <w:i/>
          <w:color w:val="auto"/>
          <w:kern w:val="0"/>
          <w:sz w:val="24"/>
          <w:highlight w:val="none"/>
        </w:rPr>
        <w:t>……………</w:t>
      </w:r>
      <w:r>
        <w:rPr>
          <w:iCs/>
          <w:color w:val="auto"/>
          <w:kern w:val="0"/>
          <w:sz w:val="24"/>
          <w:highlight w:val="none"/>
        </w:rPr>
        <w:t>..式1</w:t>
      </w:r>
    </w:p>
    <w:p w14:paraId="5E860FDB">
      <w:pPr>
        <w:widowControl/>
        <w:adjustRightInd w:val="0"/>
        <w:snapToGrid w:val="0"/>
        <w:spacing w:line="360" w:lineRule="auto"/>
        <w:jc w:val="center"/>
        <w:rPr>
          <w:iCs/>
          <w:color w:val="auto"/>
          <w:kern w:val="0"/>
          <w:sz w:val="24"/>
          <w:highlight w:val="none"/>
        </w:rPr>
      </w:pPr>
      <w:r>
        <w:rPr>
          <w:iCs/>
          <w:color w:val="auto"/>
          <w:kern w:val="0"/>
          <w:sz w:val="24"/>
          <w:highlight w:val="none"/>
        </w:rPr>
        <w:t>公式适用范围，T：508~880 K</w:t>
      </w:r>
    </w:p>
    <w:p w14:paraId="1987C433">
      <w:pPr>
        <w:widowControl/>
        <w:adjustRightInd w:val="0"/>
        <w:snapToGrid w:val="0"/>
        <w:spacing w:line="360" w:lineRule="auto"/>
        <w:rPr>
          <w:iCs/>
          <w:color w:val="auto"/>
          <w:kern w:val="0"/>
          <w:sz w:val="24"/>
          <w:highlight w:val="none"/>
        </w:rPr>
      </w:pPr>
      <w:r>
        <w:rPr>
          <w:iCs/>
          <w:color w:val="auto"/>
          <w:kern w:val="0"/>
          <w:sz w:val="24"/>
          <w:highlight w:val="none"/>
        </w:rPr>
        <w:t>主要密度数值计算如下：</w:t>
      </w:r>
    </w:p>
    <w:tbl>
      <w:tblPr>
        <w:tblStyle w:val="3"/>
        <w:tblW w:w="4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296"/>
        <w:gridCol w:w="1656"/>
      </w:tblGrid>
      <w:tr w14:paraId="1396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2D5A0D2A">
            <w:pPr>
              <w:widowControl/>
              <w:rPr>
                <w:rFonts w:eastAsia="等线"/>
                <w:color w:val="auto"/>
                <w:kern w:val="0"/>
                <w:sz w:val="22"/>
                <w:szCs w:val="22"/>
                <w:highlight w:val="none"/>
              </w:rPr>
            </w:pPr>
            <w:r>
              <w:rPr>
                <w:rFonts w:eastAsia="等线"/>
                <w:color w:val="auto"/>
                <w:kern w:val="0"/>
                <w:sz w:val="22"/>
                <w:szCs w:val="22"/>
                <w:highlight w:val="none"/>
              </w:rPr>
              <w:t>温度（℃）</w:t>
            </w:r>
          </w:p>
        </w:tc>
        <w:tc>
          <w:tcPr>
            <w:tcW w:w="1296" w:type="dxa"/>
            <w:noWrap/>
            <w:vAlign w:val="center"/>
          </w:tcPr>
          <w:p w14:paraId="767CC598">
            <w:pPr>
              <w:widowControl/>
              <w:rPr>
                <w:rFonts w:eastAsia="等线"/>
                <w:color w:val="auto"/>
                <w:kern w:val="0"/>
                <w:sz w:val="22"/>
                <w:szCs w:val="22"/>
                <w:highlight w:val="none"/>
              </w:rPr>
            </w:pPr>
            <w:r>
              <w:rPr>
                <w:rFonts w:eastAsia="等线"/>
                <w:color w:val="auto"/>
                <w:kern w:val="0"/>
                <w:sz w:val="22"/>
                <w:szCs w:val="22"/>
                <w:highlight w:val="none"/>
              </w:rPr>
              <w:t>温度（K）</w:t>
            </w:r>
          </w:p>
        </w:tc>
        <w:tc>
          <w:tcPr>
            <w:tcW w:w="1656" w:type="dxa"/>
            <w:noWrap/>
            <w:vAlign w:val="center"/>
          </w:tcPr>
          <w:p w14:paraId="2CB11639">
            <w:pPr>
              <w:widowControl/>
              <w:rPr>
                <w:rFonts w:eastAsia="等线"/>
                <w:color w:val="auto"/>
                <w:kern w:val="0"/>
                <w:sz w:val="16"/>
                <w:szCs w:val="16"/>
                <w:highlight w:val="none"/>
              </w:rPr>
            </w:pPr>
            <w:r>
              <w:rPr>
                <w:rFonts w:eastAsia="等线"/>
                <w:color w:val="auto"/>
                <w:kern w:val="0"/>
                <w:sz w:val="22"/>
                <w:szCs w:val="22"/>
                <w:highlight w:val="none"/>
              </w:rPr>
              <w:t>密度（kg/m</w:t>
            </w:r>
            <w:r>
              <w:rPr>
                <w:rFonts w:eastAsia="等线"/>
                <w:color w:val="auto"/>
                <w:kern w:val="0"/>
                <w:sz w:val="22"/>
                <w:szCs w:val="22"/>
                <w:highlight w:val="none"/>
                <w:vertAlign w:val="superscript"/>
              </w:rPr>
              <w:t>3</w:t>
            </w:r>
            <w:r>
              <w:rPr>
                <w:rFonts w:eastAsia="等线"/>
                <w:color w:val="auto"/>
                <w:kern w:val="0"/>
                <w:sz w:val="22"/>
                <w:szCs w:val="22"/>
                <w:highlight w:val="none"/>
              </w:rPr>
              <w:t>）</w:t>
            </w:r>
          </w:p>
        </w:tc>
      </w:tr>
      <w:tr w14:paraId="3F31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49B567C0">
            <w:pPr>
              <w:widowControl/>
              <w:rPr>
                <w:rFonts w:eastAsia="等线"/>
                <w:color w:val="auto"/>
                <w:kern w:val="0"/>
                <w:sz w:val="22"/>
                <w:szCs w:val="22"/>
                <w:highlight w:val="none"/>
              </w:rPr>
            </w:pPr>
            <w:r>
              <w:rPr>
                <w:rFonts w:eastAsia="等线"/>
                <w:color w:val="auto"/>
                <w:kern w:val="0"/>
                <w:sz w:val="22"/>
                <w:szCs w:val="22"/>
                <w:highlight w:val="none"/>
              </w:rPr>
              <w:t>234.85</w:t>
            </w:r>
          </w:p>
        </w:tc>
        <w:tc>
          <w:tcPr>
            <w:tcW w:w="1296" w:type="dxa"/>
            <w:noWrap/>
            <w:vAlign w:val="center"/>
          </w:tcPr>
          <w:p w14:paraId="20F24810">
            <w:pPr>
              <w:widowControl/>
              <w:rPr>
                <w:rFonts w:eastAsia="等线"/>
                <w:color w:val="auto"/>
                <w:kern w:val="0"/>
                <w:sz w:val="22"/>
                <w:szCs w:val="22"/>
                <w:highlight w:val="none"/>
              </w:rPr>
            </w:pPr>
            <w:r>
              <w:rPr>
                <w:rFonts w:eastAsia="等线"/>
                <w:color w:val="auto"/>
                <w:kern w:val="0"/>
                <w:sz w:val="22"/>
                <w:szCs w:val="22"/>
                <w:highlight w:val="none"/>
              </w:rPr>
              <w:t>508</w:t>
            </w:r>
          </w:p>
        </w:tc>
        <w:tc>
          <w:tcPr>
            <w:tcW w:w="1656" w:type="dxa"/>
            <w:noWrap/>
            <w:vAlign w:val="center"/>
          </w:tcPr>
          <w:p w14:paraId="53DC0EAA">
            <w:pPr>
              <w:widowControl/>
              <w:rPr>
                <w:rFonts w:eastAsia="等线"/>
                <w:color w:val="auto"/>
                <w:kern w:val="0"/>
                <w:sz w:val="22"/>
                <w:szCs w:val="22"/>
                <w:highlight w:val="none"/>
              </w:rPr>
            </w:pPr>
            <w:r>
              <w:rPr>
                <w:rFonts w:eastAsia="等线"/>
                <w:color w:val="auto"/>
                <w:kern w:val="0"/>
                <w:sz w:val="22"/>
                <w:szCs w:val="22"/>
                <w:highlight w:val="none"/>
              </w:rPr>
              <w:t>9915.57092</w:t>
            </w:r>
          </w:p>
        </w:tc>
      </w:tr>
      <w:tr w14:paraId="44E1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51C3376E">
            <w:pPr>
              <w:widowControl/>
              <w:rPr>
                <w:rFonts w:eastAsia="等线"/>
                <w:color w:val="auto"/>
                <w:kern w:val="0"/>
                <w:sz w:val="22"/>
                <w:szCs w:val="22"/>
                <w:highlight w:val="none"/>
              </w:rPr>
            </w:pPr>
            <w:r>
              <w:rPr>
                <w:rFonts w:eastAsia="等线"/>
                <w:color w:val="auto"/>
                <w:kern w:val="0"/>
                <w:sz w:val="22"/>
                <w:szCs w:val="22"/>
                <w:highlight w:val="none"/>
              </w:rPr>
              <w:t>280</w:t>
            </w:r>
          </w:p>
        </w:tc>
        <w:tc>
          <w:tcPr>
            <w:tcW w:w="1296" w:type="dxa"/>
            <w:noWrap/>
            <w:vAlign w:val="center"/>
          </w:tcPr>
          <w:p w14:paraId="05F05991">
            <w:pPr>
              <w:widowControl/>
              <w:rPr>
                <w:rFonts w:eastAsia="等线"/>
                <w:color w:val="auto"/>
                <w:kern w:val="0"/>
                <w:sz w:val="22"/>
                <w:szCs w:val="22"/>
                <w:highlight w:val="none"/>
              </w:rPr>
            </w:pPr>
            <w:r>
              <w:rPr>
                <w:rFonts w:eastAsia="等线"/>
                <w:color w:val="auto"/>
                <w:kern w:val="0"/>
                <w:sz w:val="22"/>
                <w:szCs w:val="22"/>
                <w:highlight w:val="none"/>
              </w:rPr>
              <w:t>553.15</w:t>
            </w:r>
          </w:p>
        </w:tc>
        <w:tc>
          <w:tcPr>
            <w:tcW w:w="1656" w:type="dxa"/>
            <w:noWrap/>
            <w:vAlign w:val="center"/>
          </w:tcPr>
          <w:p w14:paraId="34B8A266">
            <w:pPr>
              <w:widowControl/>
              <w:rPr>
                <w:rFonts w:eastAsia="等线"/>
                <w:color w:val="auto"/>
                <w:kern w:val="0"/>
                <w:sz w:val="22"/>
                <w:szCs w:val="22"/>
                <w:highlight w:val="none"/>
              </w:rPr>
            </w:pPr>
            <w:r>
              <w:rPr>
                <w:rFonts w:eastAsia="等线"/>
                <w:color w:val="auto"/>
                <w:kern w:val="0"/>
                <w:sz w:val="22"/>
                <w:szCs w:val="22"/>
                <w:highlight w:val="none"/>
              </w:rPr>
              <w:t>9861.819394</w:t>
            </w:r>
          </w:p>
        </w:tc>
      </w:tr>
      <w:tr w14:paraId="7696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37850577">
            <w:pPr>
              <w:widowControl/>
              <w:rPr>
                <w:rFonts w:eastAsia="等线"/>
                <w:color w:val="auto"/>
                <w:kern w:val="0"/>
                <w:sz w:val="22"/>
                <w:szCs w:val="22"/>
                <w:highlight w:val="none"/>
              </w:rPr>
            </w:pPr>
            <w:r>
              <w:rPr>
                <w:rFonts w:eastAsia="等线"/>
                <w:color w:val="auto"/>
                <w:kern w:val="0"/>
                <w:sz w:val="22"/>
                <w:szCs w:val="22"/>
                <w:highlight w:val="none"/>
              </w:rPr>
              <w:t>300</w:t>
            </w:r>
          </w:p>
        </w:tc>
        <w:tc>
          <w:tcPr>
            <w:tcW w:w="1296" w:type="dxa"/>
            <w:noWrap/>
            <w:vAlign w:val="center"/>
          </w:tcPr>
          <w:p w14:paraId="2662C9C3">
            <w:pPr>
              <w:widowControl/>
              <w:rPr>
                <w:rFonts w:eastAsia="等线"/>
                <w:color w:val="auto"/>
                <w:kern w:val="0"/>
                <w:sz w:val="22"/>
                <w:szCs w:val="22"/>
                <w:highlight w:val="none"/>
              </w:rPr>
            </w:pPr>
            <w:r>
              <w:rPr>
                <w:rFonts w:eastAsia="等线"/>
                <w:color w:val="auto"/>
                <w:kern w:val="0"/>
                <w:sz w:val="22"/>
                <w:szCs w:val="22"/>
                <w:highlight w:val="none"/>
              </w:rPr>
              <w:t>573.15</w:t>
            </w:r>
          </w:p>
        </w:tc>
        <w:tc>
          <w:tcPr>
            <w:tcW w:w="1656" w:type="dxa"/>
            <w:noWrap/>
            <w:vAlign w:val="center"/>
          </w:tcPr>
          <w:p w14:paraId="280BBDDA">
            <w:pPr>
              <w:widowControl/>
              <w:rPr>
                <w:rFonts w:eastAsia="等线"/>
                <w:color w:val="auto"/>
                <w:kern w:val="0"/>
                <w:sz w:val="22"/>
                <w:szCs w:val="22"/>
                <w:highlight w:val="none"/>
              </w:rPr>
            </w:pPr>
            <w:r>
              <w:rPr>
                <w:rFonts w:eastAsia="等线"/>
                <w:color w:val="auto"/>
                <w:kern w:val="0"/>
                <w:sz w:val="22"/>
                <w:szCs w:val="22"/>
                <w:highlight w:val="none"/>
              </w:rPr>
              <w:t>9838.009194</w:t>
            </w:r>
          </w:p>
        </w:tc>
      </w:tr>
      <w:tr w14:paraId="3583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670E83DF">
            <w:pPr>
              <w:widowControl/>
              <w:rPr>
                <w:rFonts w:eastAsia="等线"/>
                <w:color w:val="auto"/>
                <w:kern w:val="0"/>
                <w:sz w:val="22"/>
                <w:szCs w:val="22"/>
                <w:highlight w:val="none"/>
              </w:rPr>
            </w:pPr>
            <w:r>
              <w:rPr>
                <w:rFonts w:eastAsia="等线"/>
                <w:color w:val="auto"/>
                <w:kern w:val="0"/>
                <w:sz w:val="22"/>
                <w:szCs w:val="22"/>
                <w:highlight w:val="none"/>
              </w:rPr>
              <w:t>400</w:t>
            </w:r>
          </w:p>
        </w:tc>
        <w:tc>
          <w:tcPr>
            <w:tcW w:w="1296" w:type="dxa"/>
            <w:noWrap/>
            <w:vAlign w:val="center"/>
          </w:tcPr>
          <w:p w14:paraId="59CD52A3">
            <w:pPr>
              <w:widowControl/>
              <w:rPr>
                <w:rFonts w:eastAsia="等线"/>
                <w:color w:val="auto"/>
                <w:kern w:val="0"/>
                <w:sz w:val="22"/>
                <w:szCs w:val="22"/>
                <w:highlight w:val="none"/>
              </w:rPr>
            </w:pPr>
            <w:r>
              <w:rPr>
                <w:rFonts w:eastAsia="等线"/>
                <w:color w:val="auto"/>
                <w:kern w:val="0"/>
                <w:sz w:val="22"/>
                <w:szCs w:val="22"/>
                <w:highlight w:val="none"/>
              </w:rPr>
              <w:t>673.15</w:t>
            </w:r>
          </w:p>
        </w:tc>
        <w:tc>
          <w:tcPr>
            <w:tcW w:w="1656" w:type="dxa"/>
            <w:noWrap/>
            <w:vAlign w:val="center"/>
          </w:tcPr>
          <w:p w14:paraId="48215C60">
            <w:pPr>
              <w:widowControl/>
              <w:rPr>
                <w:rFonts w:eastAsia="等线"/>
                <w:color w:val="auto"/>
                <w:kern w:val="0"/>
                <w:sz w:val="22"/>
                <w:szCs w:val="22"/>
                <w:highlight w:val="none"/>
              </w:rPr>
            </w:pPr>
            <w:r>
              <w:rPr>
                <w:rFonts w:eastAsia="等线"/>
                <w:color w:val="auto"/>
                <w:kern w:val="0"/>
                <w:sz w:val="22"/>
                <w:szCs w:val="22"/>
                <w:highlight w:val="none"/>
              </w:rPr>
              <w:t>9718.958194</w:t>
            </w:r>
          </w:p>
        </w:tc>
      </w:tr>
      <w:tr w14:paraId="0DE5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5C01AF97">
            <w:pPr>
              <w:widowControl/>
              <w:rPr>
                <w:rFonts w:eastAsia="等线"/>
                <w:color w:val="auto"/>
                <w:kern w:val="0"/>
                <w:sz w:val="22"/>
                <w:szCs w:val="22"/>
                <w:highlight w:val="none"/>
              </w:rPr>
            </w:pPr>
            <w:r>
              <w:rPr>
                <w:rFonts w:eastAsia="等线"/>
                <w:color w:val="auto"/>
                <w:kern w:val="0"/>
                <w:sz w:val="22"/>
                <w:szCs w:val="22"/>
                <w:highlight w:val="none"/>
              </w:rPr>
              <w:t>450</w:t>
            </w:r>
          </w:p>
        </w:tc>
        <w:tc>
          <w:tcPr>
            <w:tcW w:w="1296" w:type="dxa"/>
            <w:noWrap/>
            <w:vAlign w:val="center"/>
          </w:tcPr>
          <w:p w14:paraId="7DF98C6D">
            <w:pPr>
              <w:widowControl/>
              <w:rPr>
                <w:rFonts w:eastAsia="等线"/>
                <w:color w:val="auto"/>
                <w:kern w:val="0"/>
                <w:sz w:val="22"/>
                <w:szCs w:val="22"/>
                <w:highlight w:val="none"/>
              </w:rPr>
            </w:pPr>
            <w:r>
              <w:rPr>
                <w:rFonts w:eastAsia="等线"/>
                <w:color w:val="auto"/>
                <w:kern w:val="0"/>
                <w:sz w:val="22"/>
                <w:szCs w:val="22"/>
                <w:highlight w:val="none"/>
              </w:rPr>
              <w:t>723.15</w:t>
            </w:r>
          </w:p>
        </w:tc>
        <w:tc>
          <w:tcPr>
            <w:tcW w:w="1656" w:type="dxa"/>
            <w:noWrap/>
            <w:vAlign w:val="center"/>
          </w:tcPr>
          <w:p w14:paraId="088430DF">
            <w:pPr>
              <w:widowControl/>
              <w:rPr>
                <w:rFonts w:eastAsia="等线"/>
                <w:color w:val="auto"/>
                <w:kern w:val="0"/>
                <w:sz w:val="22"/>
                <w:szCs w:val="22"/>
                <w:highlight w:val="none"/>
              </w:rPr>
            </w:pPr>
            <w:r>
              <w:rPr>
                <w:rFonts w:eastAsia="等线"/>
                <w:color w:val="auto"/>
                <w:kern w:val="0"/>
                <w:sz w:val="22"/>
                <w:szCs w:val="22"/>
                <w:highlight w:val="none"/>
              </w:rPr>
              <w:t>9659.432694</w:t>
            </w:r>
          </w:p>
        </w:tc>
      </w:tr>
      <w:tr w14:paraId="476F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3E68B336">
            <w:pPr>
              <w:widowControl/>
              <w:rPr>
                <w:rFonts w:eastAsia="等线"/>
                <w:color w:val="auto"/>
                <w:kern w:val="0"/>
                <w:sz w:val="22"/>
                <w:szCs w:val="22"/>
                <w:highlight w:val="none"/>
              </w:rPr>
            </w:pPr>
            <w:r>
              <w:rPr>
                <w:rFonts w:eastAsia="等线"/>
                <w:color w:val="auto"/>
                <w:kern w:val="0"/>
                <w:sz w:val="22"/>
                <w:szCs w:val="22"/>
                <w:highlight w:val="none"/>
              </w:rPr>
              <w:t>500</w:t>
            </w:r>
          </w:p>
        </w:tc>
        <w:tc>
          <w:tcPr>
            <w:tcW w:w="1296" w:type="dxa"/>
            <w:noWrap/>
            <w:vAlign w:val="center"/>
          </w:tcPr>
          <w:p w14:paraId="3515CA18">
            <w:pPr>
              <w:widowControl/>
              <w:rPr>
                <w:rFonts w:eastAsia="等线"/>
                <w:color w:val="auto"/>
                <w:kern w:val="0"/>
                <w:sz w:val="22"/>
                <w:szCs w:val="22"/>
                <w:highlight w:val="none"/>
              </w:rPr>
            </w:pPr>
            <w:r>
              <w:rPr>
                <w:rFonts w:eastAsia="等线"/>
                <w:color w:val="auto"/>
                <w:kern w:val="0"/>
                <w:sz w:val="22"/>
                <w:szCs w:val="22"/>
                <w:highlight w:val="none"/>
              </w:rPr>
              <w:t>773.15</w:t>
            </w:r>
          </w:p>
        </w:tc>
        <w:tc>
          <w:tcPr>
            <w:tcW w:w="1656" w:type="dxa"/>
            <w:noWrap/>
            <w:vAlign w:val="center"/>
          </w:tcPr>
          <w:p w14:paraId="0610915C">
            <w:pPr>
              <w:widowControl/>
              <w:rPr>
                <w:rFonts w:eastAsia="等线"/>
                <w:color w:val="auto"/>
                <w:kern w:val="0"/>
                <w:sz w:val="22"/>
                <w:szCs w:val="22"/>
                <w:highlight w:val="none"/>
              </w:rPr>
            </w:pPr>
            <w:r>
              <w:rPr>
                <w:rFonts w:eastAsia="等线"/>
                <w:color w:val="auto"/>
                <w:kern w:val="0"/>
                <w:sz w:val="22"/>
                <w:szCs w:val="22"/>
                <w:highlight w:val="none"/>
              </w:rPr>
              <w:t>9599.907194</w:t>
            </w:r>
          </w:p>
        </w:tc>
      </w:tr>
      <w:tr w14:paraId="228B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38AE18E5">
            <w:pPr>
              <w:widowControl/>
              <w:rPr>
                <w:rFonts w:eastAsia="等线"/>
                <w:color w:val="auto"/>
                <w:kern w:val="0"/>
                <w:sz w:val="22"/>
                <w:szCs w:val="22"/>
                <w:highlight w:val="none"/>
              </w:rPr>
            </w:pPr>
            <w:r>
              <w:rPr>
                <w:rFonts w:eastAsia="等线"/>
                <w:color w:val="auto"/>
                <w:kern w:val="0"/>
                <w:sz w:val="22"/>
                <w:szCs w:val="22"/>
                <w:highlight w:val="none"/>
              </w:rPr>
              <w:t>550</w:t>
            </w:r>
          </w:p>
        </w:tc>
        <w:tc>
          <w:tcPr>
            <w:tcW w:w="1296" w:type="dxa"/>
            <w:noWrap/>
            <w:vAlign w:val="center"/>
          </w:tcPr>
          <w:p w14:paraId="06B96936">
            <w:pPr>
              <w:widowControl/>
              <w:rPr>
                <w:rFonts w:eastAsia="等线"/>
                <w:color w:val="auto"/>
                <w:kern w:val="0"/>
                <w:sz w:val="22"/>
                <w:szCs w:val="22"/>
                <w:highlight w:val="none"/>
              </w:rPr>
            </w:pPr>
            <w:r>
              <w:rPr>
                <w:rFonts w:eastAsia="等线"/>
                <w:color w:val="auto"/>
                <w:kern w:val="0"/>
                <w:sz w:val="22"/>
                <w:szCs w:val="22"/>
                <w:highlight w:val="none"/>
              </w:rPr>
              <w:t>823.15</w:t>
            </w:r>
          </w:p>
        </w:tc>
        <w:tc>
          <w:tcPr>
            <w:tcW w:w="1656" w:type="dxa"/>
            <w:noWrap/>
            <w:vAlign w:val="center"/>
          </w:tcPr>
          <w:p w14:paraId="7BEE0241">
            <w:pPr>
              <w:widowControl/>
              <w:rPr>
                <w:rFonts w:eastAsia="等线"/>
                <w:color w:val="auto"/>
                <w:kern w:val="0"/>
                <w:sz w:val="22"/>
                <w:szCs w:val="22"/>
                <w:highlight w:val="none"/>
              </w:rPr>
            </w:pPr>
            <w:r>
              <w:rPr>
                <w:rFonts w:eastAsia="等线"/>
                <w:color w:val="auto"/>
                <w:kern w:val="0"/>
                <w:sz w:val="22"/>
                <w:szCs w:val="22"/>
                <w:highlight w:val="none"/>
              </w:rPr>
              <w:t>9540.381694</w:t>
            </w:r>
          </w:p>
        </w:tc>
      </w:tr>
      <w:tr w14:paraId="55EE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96" w:type="dxa"/>
            <w:noWrap/>
            <w:vAlign w:val="center"/>
          </w:tcPr>
          <w:p w14:paraId="0253B9A0">
            <w:pPr>
              <w:widowControl/>
              <w:rPr>
                <w:rFonts w:eastAsia="等线"/>
                <w:color w:val="auto"/>
                <w:kern w:val="0"/>
                <w:sz w:val="22"/>
                <w:szCs w:val="22"/>
                <w:highlight w:val="none"/>
              </w:rPr>
            </w:pPr>
            <w:r>
              <w:rPr>
                <w:rFonts w:eastAsia="等线"/>
                <w:color w:val="auto"/>
                <w:kern w:val="0"/>
                <w:sz w:val="22"/>
                <w:szCs w:val="22"/>
                <w:highlight w:val="none"/>
              </w:rPr>
              <w:t>600</w:t>
            </w:r>
          </w:p>
        </w:tc>
        <w:tc>
          <w:tcPr>
            <w:tcW w:w="1296" w:type="dxa"/>
            <w:noWrap/>
            <w:vAlign w:val="center"/>
          </w:tcPr>
          <w:p w14:paraId="7F1F695E">
            <w:pPr>
              <w:widowControl/>
              <w:rPr>
                <w:rFonts w:eastAsia="等线"/>
                <w:color w:val="auto"/>
                <w:kern w:val="0"/>
                <w:sz w:val="22"/>
                <w:szCs w:val="22"/>
                <w:highlight w:val="none"/>
              </w:rPr>
            </w:pPr>
            <w:r>
              <w:rPr>
                <w:rFonts w:eastAsia="等线"/>
                <w:color w:val="auto"/>
                <w:kern w:val="0"/>
                <w:sz w:val="22"/>
                <w:szCs w:val="22"/>
                <w:highlight w:val="none"/>
              </w:rPr>
              <w:t>873.15</w:t>
            </w:r>
          </w:p>
        </w:tc>
        <w:tc>
          <w:tcPr>
            <w:tcW w:w="1656" w:type="dxa"/>
            <w:noWrap/>
            <w:vAlign w:val="center"/>
          </w:tcPr>
          <w:p w14:paraId="42D4D9B6">
            <w:pPr>
              <w:widowControl/>
              <w:rPr>
                <w:rFonts w:eastAsia="等线"/>
                <w:color w:val="auto"/>
                <w:kern w:val="0"/>
                <w:sz w:val="22"/>
                <w:szCs w:val="22"/>
                <w:highlight w:val="none"/>
              </w:rPr>
            </w:pPr>
            <w:r>
              <w:rPr>
                <w:rFonts w:eastAsia="等线"/>
                <w:color w:val="auto"/>
                <w:kern w:val="0"/>
                <w:sz w:val="22"/>
                <w:szCs w:val="22"/>
                <w:highlight w:val="none"/>
              </w:rPr>
              <w:t>9480.856194</w:t>
            </w:r>
          </w:p>
        </w:tc>
      </w:tr>
    </w:tbl>
    <w:p w14:paraId="49441D63">
      <w:pPr>
        <w:widowControl/>
        <w:adjustRightInd w:val="0"/>
        <w:snapToGrid w:val="0"/>
        <w:spacing w:line="360" w:lineRule="auto"/>
        <w:rPr>
          <w:color w:val="auto"/>
          <w:kern w:val="0"/>
          <w:sz w:val="24"/>
          <w:highlight w:val="none"/>
        </w:rPr>
      </w:pPr>
    </w:p>
    <w:p w14:paraId="6E4014F1">
      <w:pPr>
        <w:widowControl/>
        <w:adjustRightInd w:val="0"/>
        <w:snapToGrid w:val="0"/>
        <w:spacing w:line="360" w:lineRule="auto"/>
        <w:rPr>
          <w:b/>
          <w:bCs/>
          <w:color w:val="auto"/>
          <w:kern w:val="0"/>
          <w:sz w:val="24"/>
          <w:highlight w:val="none"/>
        </w:rPr>
      </w:pPr>
      <w:r>
        <w:rPr>
          <w:b/>
          <w:bCs/>
          <w:color w:val="auto"/>
          <w:kern w:val="0"/>
          <w:sz w:val="24"/>
          <w:highlight w:val="none"/>
        </w:rPr>
        <w:t>1.2 液态金属锂铅的动力粘度按公式2计算</w:t>
      </w:r>
    </w:p>
    <w:p w14:paraId="53D34D90">
      <w:pPr>
        <w:widowControl/>
        <w:adjustRightInd w:val="0"/>
        <w:snapToGrid w:val="0"/>
        <w:spacing w:line="360" w:lineRule="auto"/>
        <w:jc w:val="right"/>
        <w:rPr>
          <w:i/>
          <w:color w:val="auto"/>
          <w:kern w:val="0"/>
          <w:sz w:val="24"/>
          <w:highlight w:val="none"/>
        </w:rPr>
      </w:pP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29" o:spt="75" type="#_x0000_t75" style="height:13.9pt;width:197.8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146C6&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146C6&quot; wsp:rsidP=&quot;006146C6&quot;&gt;&lt;m:oMathPara&gt;&lt;m:oMath&gt;&lt;m:r&gt;&lt;w:rPr&gt;&lt;w:rFonts w:ascii=&quot;Cambria Math&quot; w:h-ansi=&quot;Cambria Math&quot;/&gt;&lt;wx:font wx:val=&quot;Cambria Math&quot;/&gt;&lt;w:i/&gt;&lt;w:kern w:val=&quot;0&quot;/&gt;&lt;w:sz w:val=&quot;24&quot;/&gt;&lt;/w:rPr&gt;&lt;m:t&gt;η&lt;/m:t&gt;&lt;/m:r&gt;&lt;m:d&gt;&lt;m:dPr&gt;&lt;m:ctrlPr&gt;&lt;w:rPr&gt;&lt;w:rFonts w:ascii=&quot;Cambria Math&quot; w:h-ansi=&quot;Cambria Math&quot;/&gt;&lt;wx:font wx:val=&quot;Cambria Math&quot;/&gt;&lt;w:i/&gt;&lt;w:kern w:val=&quot;0&quot;/&gt;&lt;w:sz w:val=&quot;24&quot;/&gt;&lt;/w:rPr&gt;&lt;/m:ctrlPr&gt;&lt;/m:dPr&gt;&lt;m:e&gt;&lt;m:r&gt;&lt;w:rPr&gt;&lt;w:rFonts w:ascii=&quot;Cambria Math&quot; w:h-ansi=&quot;Cambria Math&quot;/&gt;&lt;wx:font wx:val=&quot;Cambria Math&quot;/&gt;&lt;w:i/&gt;&lt;w:kern w:val=&quot;0&quot;/&gt;&lt;w:sz w:val=&quot;24&quot;/&gt;&lt;/w:rPr&gt;&lt;m:t&gt;Pa∙s&lt;/m:t&gt;&lt;/m:r&gt;&lt;/m:e&gt;&lt;/m:d&gt;&lt;m:r&gt;&lt;w:rPr&gt;&lt;w:rFonts w:ascii=&quot;Cambria Math&quot; w:h-ansi=&quot;Cambria Math&quot;/&gt;&lt;wx:font wx:val=&quot;Cambria Math&quot;/&gt;&lt;w:i/&gt;&lt;w:kern w:val=&quot;0&quot;/&gt;&lt;w:sz w:val=&quot;24&quot;/&gt;&lt;/w:rPr&gt;&lt;m:t&gt;=0.187×&lt;/m:t&gt;&lt;/m:r&gt;&lt;m:sSup&gt;&lt;m:sSupPr&gt;&lt;m:ctrlPr&gt;&lt;w:rPr&gt;&lt;w:rFonts w:ascii=&quot;Cambria Math&quot; w:h-ansi=&quot;Cambria Math&quot;/&gt;&lt;wx:font wx:val=&quot;Cambria Math&quot;/&gt;&lt;w:i/&gt;&lt;w:kern w:val=&quot;0&quot;/&gt;&lt;w:sz w:val=&quot;24&quot;/&gt;&lt;/w:rPr&gt;&lt;/m:ctrlPr&gt;&lt;/m:sSupPr&gt;&lt;m:e&gt;&lt;m:r&gt;&lt;w:rPr&gt;&lt;w:rFonts w:ascii=&quot;Cambria Math&quot; w:h-ansi=&quot;Cambria Math&quot;/&gt;&lt;wx:font wx:val=&quot;Cambria Math&quot;/&gt;&lt;w:i/&gt;&lt;w:kern w:val=&quot;0&quot;/&gt;&lt;w:sz w:val=&quot;24&quot;/&gt;&lt;/w:rPr&gt;&lt;m:t&gt;10&lt;/m:t&gt;&lt;/m:r&gt;&lt;/m:e&gt;&lt;m:sup&gt;&lt;m:r&gt;&lt;w:rPr&gt;&lt;w:rFonts w:ascii=&quot;Cambria Math&quot; w:h-ansi=&quot;Cambria Math&quot;/&gt;&lt;wx:font wx:val=&quot;Cambria Math&quot;/&gt;&lt;w:i/&gt;&lt;w:kern w:val=&quot;0&quot;/&gt;&lt;w:sz w:val=&quot;24&quot;/&gt;&lt;/w:rPr&gt;&lt;m:t&gt;-3&lt;/m:t&gt;&lt;/m:r&gt;&lt;/m:sup&gt;&lt;/m:sSup&gt;&lt;m:r&gt;&lt;w:rPr&gt;&lt;w:rFonts w:ascii=&quot;Cambria Math&quot; w:h-ansi=&quot;Cambria Math&quot;/&gt;&lt;wx:font wx:val=&quot;Cambria Math&quot;/&gt;&lt;w:i/&gt;&lt;w:kern w:val=&quot;0&quot;/&gt;&lt;w:sz w:val=&quot;24&quot;/&gt;&lt;/w:rPr&gt;&lt;m:t&gt;exp&lt;/m:t&gt;&lt;/m:r&gt;&lt;m:d&gt;&lt;m:dPr&gt;&lt;m:begChr m:val=&quot;（&quot;/&gt;&lt;m:endChr m:val=&quot;）&quot;/&gt;&lt;m:ctrlPr&gt;&lt;w:rPr&gt;&lt;w:rFonts w:ascii=&quot;Cambria Math&quot; w:h-ansi=&quot;Cambria Math&quot;/&gt;&lt;wx:font wx:val=&quot;Cambria Math&quot;/&gt;&lt;w:i/&gt;&lt;w:kern w:val=&quot;0&quot;/&gt;&lt;w:sz w:val=&quot;24&quot;/&gt;&lt;/w:rPr&gt;&lt;/m:ctrlPr&gt;&lt;/m:dPr&gt;&lt;m:e&gt;&lt;m:r&gt;&lt;w:rPr&gt;&lt;w:rFonts w:ascii=&quot;Cambria Math&quot; w:h-ansi=&quot;Cambria Math&quot;/&gt;&lt;wx:font wx:val=&quot;Cambria Math&quot;/&gt;&lt;w:i/&gt;&lt;w:kern w:val=&quot;0&quot;/&gt;&lt;w:sz w:val=&quot;24&quot;/&gt;&lt;/w:rPr&gt;&lt;m:t&gt;1400/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30" o:spt="75" type="#_x0000_t75" style="height:13.9pt;width:197.8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146C6&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146C6&quot; wsp:rsidP=&quot;006146C6&quot;&gt;&lt;m:oMathPara&gt;&lt;m:oMath&gt;&lt;m:r&gt;&lt;w:rPr&gt;&lt;w:rFonts w:ascii=&quot;Cambria Math&quot; w:h-ansi=&quot;Cambria Math&quot;/&gt;&lt;wx:font wx:val=&quot;Cambria Math&quot;/&gt;&lt;w:i/&gt;&lt;w:kern w:val=&quot;0&quot;/&gt;&lt;w:sz w:val=&quot;24&quot;/&gt;&lt;/w:rPr&gt;&lt;m:t&gt;η&lt;/m:t&gt;&lt;/m:r&gt;&lt;m:d&gt;&lt;m:dPr&gt;&lt;m:ctrlPr&gt;&lt;w:rPr&gt;&lt;w:rFonts w:ascii=&quot;Cambria Math&quot; w:h-ansi=&quot;Cambria Math&quot;/&gt;&lt;wx:font wx:val=&quot;Cambria Math&quot;/&gt;&lt;w:i/&gt;&lt;w:kern w:val=&quot;0&quot;/&gt;&lt;w:sz w:val=&quot;24&quot;/&gt;&lt;/w:rPr&gt;&lt;/m:ctrlPr&gt;&lt;/m:dPr&gt;&lt;m:e&gt;&lt;m:r&gt;&lt;w:rPr&gt;&lt;w:rFonts w:ascii=&quot;Cambria Math&quot; w:h-ansi=&quot;Cambria Math&quot;/&gt;&lt;wx:font wx:val=&quot;Cambria Math&quot;/&gt;&lt;w:i/&gt;&lt;w:kern w:val=&quot;0&quot;/&gt;&lt;w:sz w:val=&quot;24&quot;/&gt;&lt;/w:rPr&gt;&lt;m:t&gt;Pa∙s&lt;/m:t&gt;&lt;/m:r&gt;&lt;/m:e&gt;&lt;/m:d&gt;&lt;m:r&gt;&lt;w:rPr&gt;&lt;w:rFonts w:ascii=&quot;Cambria Math&quot; w:h-ansi=&quot;Cambria Math&quot;/&gt;&lt;wx:font wx:val=&quot;Cambria Math&quot;/&gt;&lt;w:i/&gt;&lt;w:kern w:val=&quot;0&quot;/&gt;&lt;w:sz w:val=&quot;24&quot;/&gt;&lt;/w:rPr&gt;&lt;m:t&gt;=0.187×&lt;/m:t&gt;&lt;/m:r&gt;&lt;m:sSup&gt;&lt;m:sSupPr&gt;&lt;m:ctrlPr&gt;&lt;w:rPr&gt;&lt;w:rFonts w:ascii=&quot;Cambria Math&quot; w:h-ansi=&quot;Cambria Math&quot;/&gt;&lt;wx:font wx:val=&quot;Cambria Math&quot;/&gt;&lt;w:i/&gt;&lt;w:kern w:val=&quot;0&quot;/&gt;&lt;w:sz w:val=&quot;24&quot;/&gt;&lt;/w:rPr&gt;&lt;/m:ctrlPr&gt;&lt;/m:sSupPr&gt;&lt;m:e&gt;&lt;m:r&gt;&lt;w:rPr&gt;&lt;w:rFonts w:ascii=&quot;Cambria Math&quot; w:h-ansi=&quot;Cambria Math&quot;/&gt;&lt;wx:font wx:val=&quot;Cambria Math&quot;/&gt;&lt;w:i/&gt;&lt;w:kern w:val=&quot;0&quot;/&gt;&lt;w:sz w:val=&quot;24&quot;/&gt;&lt;/w:rPr&gt;&lt;m:t&gt;10&lt;/m:t&gt;&lt;/m:r&gt;&lt;/m:e&gt;&lt;m:sup&gt;&lt;m:r&gt;&lt;w:rPr&gt;&lt;w:rFonts w:ascii=&quot;Cambria Math&quot; w:h-ansi=&quot;Cambria Math&quot;/&gt;&lt;wx:font wx:val=&quot;Cambria Math&quot;/&gt;&lt;w:i/&gt;&lt;w:kern w:val=&quot;0&quot;/&gt;&lt;w:sz w:val=&quot;24&quot;/&gt;&lt;/w:rPr&gt;&lt;m:t&gt;-3&lt;/m:t&gt;&lt;/m:r&gt;&lt;/m:sup&gt;&lt;/m:sSup&gt;&lt;m:r&gt;&lt;w:rPr&gt;&lt;w:rFonts w:ascii=&quot;Cambria Math&quot; w:h-ansi=&quot;Cambria Math&quot;/&gt;&lt;wx:font wx:val=&quot;Cambria Math&quot;/&gt;&lt;w:i/&gt;&lt;w:kern w:val=&quot;0&quot;/&gt;&lt;w:sz w:val=&quot;24&quot;/&gt;&lt;/w:rPr&gt;&lt;m:t&gt;exp&lt;/m:t&gt;&lt;/m:r&gt;&lt;m:d&gt;&lt;m:dPr&gt;&lt;m:begChr m:val=&quot;（&quot;/&gt;&lt;m:endChr m:val=&quot;）&quot;/&gt;&lt;m:ctrlPr&gt;&lt;w:rPr&gt;&lt;w:rFonts w:ascii=&quot;Cambria Math&quot; w:h-ansi=&quot;Cambria Math&quot;/&gt;&lt;wx:font wx:val=&quot;Cambria Math&quot;/&gt;&lt;w:i/&gt;&lt;w:kern w:val=&quot;0&quot;/&gt;&lt;w:sz w:val=&quot;24&quot;/&gt;&lt;/w:rPr&gt;&lt;/m:ctrlPr&gt;&lt;/m:dPr&gt;&lt;m:e&gt;&lt;m:r&gt;&lt;w:rPr&gt;&lt;w:rFonts w:ascii=&quot;Cambria Math&quot; w:h-ansi=&quot;Cambria Math&quot;/&gt;&lt;wx:font wx:val=&quot;Cambria Math&quot;/&gt;&lt;w:i/&gt;&lt;w:kern w:val=&quot;0&quot;/&gt;&lt;w:sz w:val=&quot;24&quot;/&gt;&lt;/w:rPr&gt;&lt;m:t&gt;1400/T&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 chromakey="#FFFFFF" o:title=""/>
            <o:lock v:ext="edit" aspectratio="t"/>
            <w10:wrap type="none"/>
            <w10:anchorlock/>
          </v:shape>
        </w:pict>
      </w:r>
      <w:r>
        <w:rPr>
          <w:color w:val="auto"/>
          <w:kern w:val="0"/>
          <w:sz w:val="24"/>
          <w:highlight w:val="none"/>
        </w:rPr>
        <w:fldChar w:fldCharType="end"/>
      </w:r>
      <w:r>
        <w:rPr>
          <w:i/>
          <w:color w:val="auto"/>
          <w:kern w:val="0"/>
          <w:sz w:val="24"/>
          <w:highlight w:val="none"/>
        </w:rPr>
        <w:t>………………………</w:t>
      </w:r>
      <w:r>
        <w:rPr>
          <w:iCs/>
          <w:color w:val="auto"/>
          <w:kern w:val="0"/>
          <w:sz w:val="24"/>
          <w:highlight w:val="none"/>
        </w:rPr>
        <w:t>..式2</w:t>
      </w:r>
    </w:p>
    <w:p w14:paraId="2AE818F6">
      <w:pPr>
        <w:widowControl/>
        <w:adjustRightInd w:val="0"/>
        <w:snapToGrid w:val="0"/>
        <w:spacing w:line="360" w:lineRule="auto"/>
        <w:jc w:val="center"/>
        <w:rPr>
          <w:iCs/>
          <w:color w:val="auto"/>
          <w:kern w:val="0"/>
          <w:sz w:val="24"/>
          <w:highlight w:val="none"/>
        </w:rPr>
      </w:pPr>
      <w:r>
        <w:rPr>
          <w:iCs/>
          <w:color w:val="auto"/>
          <w:kern w:val="0"/>
          <w:sz w:val="24"/>
          <w:highlight w:val="none"/>
        </w:rPr>
        <w:t>公式适用范围，T：521~900 K</w:t>
      </w:r>
    </w:p>
    <w:p w14:paraId="5BA6329C">
      <w:pPr>
        <w:widowControl/>
        <w:adjustRightInd w:val="0"/>
        <w:snapToGrid w:val="0"/>
        <w:spacing w:line="360" w:lineRule="auto"/>
        <w:rPr>
          <w:iCs/>
          <w:color w:val="auto"/>
          <w:kern w:val="0"/>
          <w:sz w:val="24"/>
          <w:highlight w:val="none"/>
        </w:rPr>
      </w:pPr>
      <w:r>
        <w:rPr>
          <w:iCs/>
          <w:color w:val="auto"/>
          <w:kern w:val="0"/>
          <w:sz w:val="24"/>
          <w:highlight w:val="none"/>
        </w:rPr>
        <w:t>主要密度数值计算如下：</w:t>
      </w:r>
    </w:p>
    <w:tbl>
      <w:tblPr>
        <w:tblStyle w:val="3"/>
        <w:tblW w:w="4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1559"/>
      </w:tblGrid>
      <w:tr w14:paraId="1773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6B45BAD1">
            <w:pPr>
              <w:widowControl/>
              <w:rPr>
                <w:rFonts w:eastAsia="等线"/>
                <w:color w:val="auto"/>
                <w:kern w:val="0"/>
                <w:sz w:val="22"/>
                <w:szCs w:val="22"/>
                <w:highlight w:val="none"/>
              </w:rPr>
            </w:pPr>
            <w:r>
              <w:rPr>
                <w:rFonts w:eastAsia="等线"/>
                <w:color w:val="auto"/>
                <w:kern w:val="0"/>
                <w:sz w:val="22"/>
                <w:szCs w:val="22"/>
                <w:highlight w:val="none"/>
              </w:rPr>
              <w:t>温度（℃）</w:t>
            </w:r>
          </w:p>
        </w:tc>
        <w:tc>
          <w:tcPr>
            <w:tcW w:w="1559" w:type="dxa"/>
            <w:noWrap/>
            <w:vAlign w:val="center"/>
          </w:tcPr>
          <w:p w14:paraId="3526A4C1">
            <w:pPr>
              <w:widowControl/>
              <w:rPr>
                <w:rFonts w:eastAsia="等线"/>
                <w:color w:val="auto"/>
                <w:kern w:val="0"/>
                <w:sz w:val="22"/>
                <w:szCs w:val="22"/>
                <w:highlight w:val="none"/>
              </w:rPr>
            </w:pPr>
            <w:r>
              <w:rPr>
                <w:rFonts w:eastAsia="等线"/>
                <w:color w:val="auto"/>
                <w:kern w:val="0"/>
                <w:sz w:val="22"/>
                <w:szCs w:val="22"/>
                <w:highlight w:val="none"/>
              </w:rPr>
              <w:t>温度（T）</w:t>
            </w:r>
          </w:p>
        </w:tc>
        <w:tc>
          <w:tcPr>
            <w:tcW w:w="1559" w:type="dxa"/>
            <w:noWrap/>
            <w:vAlign w:val="center"/>
          </w:tcPr>
          <w:p w14:paraId="19B772BE">
            <w:pPr>
              <w:widowControl/>
              <w:rPr>
                <w:rFonts w:eastAsia="等线"/>
                <w:color w:val="auto"/>
                <w:kern w:val="0"/>
                <w:sz w:val="22"/>
                <w:szCs w:val="22"/>
                <w:highlight w:val="none"/>
              </w:rPr>
            </w:pPr>
            <w:r>
              <w:rPr>
                <w:rFonts w:eastAsia="等线"/>
                <w:color w:val="auto"/>
                <w:kern w:val="0"/>
                <w:sz w:val="22"/>
                <w:szCs w:val="22"/>
                <w:highlight w:val="none"/>
              </w:rPr>
              <w:t>动力粘度(Pa·s)</w:t>
            </w:r>
          </w:p>
        </w:tc>
      </w:tr>
      <w:tr w14:paraId="1211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74009580">
            <w:pPr>
              <w:widowControl/>
              <w:rPr>
                <w:rFonts w:eastAsia="等线"/>
                <w:color w:val="auto"/>
                <w:kern w:val="0"/>
                <w:sz w:val="22"/>
                <w:szCs w:val="22"/>
                <w:highlight w:val="none"/>
              </w:rPr>
            </w:pPr>
            <w:r>
              <w:rPr>
                <w:rFonts w:eastAsia="等线"/>
                <w:color w:val="auto"/>
                <w:kern w:val="0"/>
                <w:sz w:val="22"/>
                <w:szCs w:val="22"/>
                <w:highlight w:val="none"/>
              </w:rPr>
              <w:t>247.85</w:t>
            </w:r>
          </w:p>
        </w:tc>
        <w:tc>
          <w:tcPr>
            <w:tcW w:w="1559" w:type="dxa"/>
            <w:noWrap/>
            <w:vAlign w:val="center"/>
          </w:tcPr>
          <w:p w14:paraId="00F2ED9B">
            <w:pPr>
              <w:widowControl/>
              <w:rPr>
                <w:rFonts w:eastAsia="等线"/>
                <w:color w:val="auto"/>
                <w:kern w:val="0"/>
                <w:sz w:val="22"/>
                <w:szCs w:val="22"/>
                <w:highlight w:val="none"/>
              </w:rPr>
            </w:pPr>
            <w:r>
              <w:rPr>
                <w:rFonts w:eastAsia="等线"/>
                <w:color w:val="auto"/>
                <w:kern w:val="0"/>
                <w:sz w:val="22"/>
                <w:szCs w:val="22"/>
                <w:highlight w:val="none"/>
              </w:rPr>
              <w:t>521</w:t>
            </w:r>
          </w:p>
        </w:tc>
        <w:tc>
          <w:tcPr>
            <w:tcW w:w="1559" w:type="dxa"/>
            <w:noWrap/>
            <w:vAlign w:val="center"/>
          </w:tcPr>
          <w:p w14:paraId="1C3BAAC9">
            <w:pPr>
              <w:widowControl/>
              <w:rPr>
                <w:rFonts w:eastAsia="等线"/>
                <w:color w:val="auto"/>
                <w:kern w:val="0"/>
                <w:sz w:val="22"/>
                <w:szCs w:val="22"/>
                <w:highlight w:val="none"/>
              </w:rPr>
            </w:pPr>
            <w:r>
              <w:rPr>
                <w:rFonts w:eastAsia="等线"/>
                <w:color w:val="auto"/>
                <w:kern w:val="0"/>
                <w:sz w:val="22"/>
                <w:szCs w:val="22"/>
                <w:highlight w:val="none"/>
              </w:rPr>
              <w:t>0.002746956</w:t>
            </w:r>
          </w:p>
        </w:tc>
      </w:tr>
      <w:tr w14:paraId="7215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53FBB8D0">
            <w:pPr>
              <w:widowControl/>
              <w:rPr>
                <w:rFonts w:eastAsia="等线"/>
                <w:color w:val="auto"/>
                <w:kern w:val="0"/>
                <w:sz w:val="22"/>
                <w:szCs w:val="22"/>
                <w:highlight w:val="none"/>
              </w:rPr>
            </w:pPr>
            <w:r>
              <w:rPr>
                <w:rFonts w:eastAsia="等线"/>
                <w:color w:val="auto"/>
                <w:kern w:val="0"/>
                <w:sz w:val="22"/>
                <w:szCs w:val="22"/>
                <w:highlight w:val="none"/>
              </w:rPr>
              <w:t>280</w:t>
            </w:r>
          </w:p>
        </w:tc>
        <w:tc>
          <w:tcPr>
            <w:tcW w:w="1559" w:type="dxa"/>
            <w:noWrap/>
            <w:vAlign w:val="center"/>
          </w:tcPr>
          <w:p w14:paraId="6EF1B9BC">
            <w:pPr>
              <w:widowControl/>
              <w:rPr>
                <w:rFonts w:eastAsia="等线"/>
                <w:color w:val="auto"/>
                <w:kern w:val="0"/>
                <w:sz w:val="22"/>
                <w:szCs w:val="22"/>
                <w:highlight w:val="none"/>
              </w:rPr>
            </w:pPr>
            <w:r>
              <w:rPr>
                <w:rFonts w:eastAsia="等线"/>
                <w:color w:val="auto"/>
                <w:kern w:val="0"/>
                <w:sz w:val="22"/>
                <w:szCs w:val="22"/>
                <w:highlight w:val="none"/>
              </w:rPr>
              <w:t>553.15</w:t>
            </w:r>
          </w:p>
        </w:tc>
        <w:tc>
          <w:tcPr>
            <w:tcW w:w="1559" w:type="dxa"/>
            <w:noWrap/>
            <w:vAlign w:val="center"/>
          </w:tcPr>
          <w:p w14:paraId="7BD7034F">
            <w:pPr>
              <w:widowControl/>
              <w:rPr>
                <w:rFonts w:eastAsia="等线"/>
                <w:color w:val="auto"/>
                <w:kern w:val="0"/>
                <w:sz w:val="22"/>
                <w:szCs w:val="22"/>
                <w:highlight w:val="none"/>
              </w:rPr>
            </w:pPr>
            <w:r>
              <w:rPr>
                <w:rFonts w:eastAsia="等线"/>
                <w:color w:val="auto"/>
                <w:kern w:val="0"/>
                <w:sz w:val="22"/>
                <w:szCs w:val="22"/>
                <w:highlight w:val="none"/>
              </w:rPr>
              <w:t>0.002349758</w:t>
            </w:r>
          </w:p>
        </w:tc>
      </w:tr>
      <w:tr w14:paraId="3657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1A78204D">
            <w:pPr>
              <w:widowControl/>
              <w:rPr>
                <w:rFonts w:eastAsia="等线"/>
                <w:color w:val="auto"/>
                <w:kern w:val="0"/>
                <w:sz w:val="22"/>
                <w:szCs w:val="22"/>
                <w:highlight w:val="none"/>
              </w:rPr>
            </w:pPr>
            <w:r>
              <w:rPr>
                <w:rFonts w:eastAsia="等线"/>
                <w:color w:val="auto"/>
                <w:kern w:val="0"/>
                <w:sz w:val="22"/>
                <w:szCs w:val="22"/>
                <w:highlight w:val="none"/>
              </w:rPr>
              <w:t>300</w:t>
            </w:r>
          </w:p>
        </w:tc>
        <w:tc>
          <w:tcPr>
            <w:tcW w:w="1559" w:type="dxa"/>
            <w:noWrap/>
            <w:vAlign w:val="center"/>
          </w:tcPr>
          <w:p w14:paraId="5F7F263D">
            <w:pPr>
              <w:widowControl/>
              <w:rPr>
                <w:rFonts w:eastAsia="等线"/>
                <w:color w:val="auto"/>
                <w:kern w:val="0"/>
                <w:sz w:val="22"/>
                <w:szCs w:val="22"/>
                <w:highlight w:val="none"/>
              </w:rPr>
            </w:pPr>
            <w:r>
              <w:rPr>
                <w:rFonts w:eastAsia="等线"/>
                <w:color w:val="auto"/>
                <w:kern w:val="0"/>
                <w:sz w:val="22"/>
                <w:szCs w:val="22"/>
                <w:highlight w:val="none"/>
              </w:rPr>
              <w:t>573.15</w:t>
            </w:r>
          </w:p>
        </w:tc>
        <w:tc>
          <w:tcPr>
            <w:tcW w:w="1559" w:type="dxa"/>
            <w:noWrap/>
            <w:vAlign w:val="center"/>
          </w:tcPr>
          <w:p w14:paraId="5D03AEB0">
            <w:pPr>
              <w:widowControl/>
              <w:rPr>
                <w:rFonts w:eastAsia="等线"/>
                <w:color w:val="auto"/>
                <w:kern w:val="0"/>
                <w:sz w:val="22"/>
                <w:szCs w:val="22"/>
                <w:highlight w:val="none"/>
              </w:rPr>
            </w:pPr>
            <w:r>
              <w:rPr>
                <w:rFonts w:eastAsia="等线"/>
                <w:color w:val="auto"/>
                <w:kern w:val="0"/>
                <w:sz w:val="22"/>
                <w:szCs w:val="22"/>
                <w:highlight w:val="none"/>
              </w:rPr>
              <w:t>0.002151133</w:t>
            </w:r>
          </w:p>
        </w:tc>
      </w:tr>
      <w:tr w14:paraId="1BED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293FFC33">
            <w:pPr>
              <w:widowControl/>
              <w:rPr>
                <w:rFonts w:eastAsia="等线"/>
                <w:color w:val="auto"/>
                <w:kern w:val="0"/>
                <w:sz w:val="22"/>
                <w:szCs w:val="22"/>
                <w:highlight w:val="none"/>
              </w:rPr>
            </w:pPr>
            <w:r>
              <w:rPr>
                <w:rFonts w:eastAsia="等线"/>
                <w:color w:val="auto"/>
                <w:kern w:val="0"/>
                <w:sz w:val="22"/>
                <w:szCs w:val="22"/>
                <w:highlight w:val="none"/>
              </w:rPr>
              <w:t>400</w:t>
            </w:r>
          </w:p>
        </w:tc>
        <w:tc>
          <w:tcPr>
            <w:tcW w:w="1559" w:type="dxa"/>
            <w:noWrap/>
            <w:vAlign w:val="center"/>
          </w:tcPr>
          <w:p w14:paraId="132A83D4">
            <w:pPr>
              <w:widowControl/>
              <w:rPr>
                <w:rFonts w:eastAsia="等线"/>
                <w:color w:val="auto"/>
                <w:kern w:val="0"/>
                <w:sz w:val="22"/>
                <w:szCs w:val="22"/>
                <w:highlight w:val="none"/>
              </w:rPr>
            </w:pPr>
            <w:r>
              <w:rPr>
                <w:rFonts w:eastAsia="等线"/>
                <w:color w:val="auto"/>
                <w:kern w:val="0"/>
                <w:sz w:val="22"/>
                <w:szCs w:val="22"/>
                <w:highlight w:val="none"/>
              </w:rPr>
              <w:t>673.15</w:t>
            </w:r>
          </w:p>
        </w:tc>
        <w:tc>
          <w:tcPr>
            <w:tcW w:w="1559" w:type="dxa"/>
            <w:noWrap/>
            <w:vAlign w:val="center"/>
          </w:tcPr>
          <w:p w14:paraId="1C5DD1BF">
            <w:pPr>
              <w:widowControl/>
              <w:rPr>
                <w:rFonts w:eastAsia="等线"/>
                <w:color w:val="auto"/>
                <w:kern w:val="0"/>
                <w:sz w:val="22"/>
                <w:szCs w:val="22"/>
                <w:highlight w:val="none"/>
              </w:rPr>
            </w:pPr>
            <w:r>
              <w:rPr>
                <w:rFonts w:eastAsia="等线"/>
                <w:color w:val="auto"/>
                <w:kern w:val="0"/>
                <w:sz w:val="22"/>
                <w:szCs w:val="22"/>
                <w:highlight w:val="none"/>
              </w:rPr>
              <w:t>0.001496498</w:t>
            </w:r>
          </w:p>
        </w:tc>
      </w:tr>
      <w:tr w14:paraId="4C79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7D64FA0B">
            <w:pPr>
              <w:widowControl/>
              <w:rPr>
                <w:rFonts w:eastAsia="等线"/>
                <w:color w:val="auto"/>
                <w:kern w:val="0"/>
                <w:sz w:val="22"/>
                <w:szCs w:val="22"/>
                <w:highlight w:val="none"/>
              </w:rPr>
            </w:pPr>
            <w:r>
              <w:rPr>
                <w:rFonts w:eastAsia="等线"/>
                <w:color w:val="auto"/>
                <w:kern w:val="0"/>
                <w:sz w:val="22"/>
                <w:szCs w:val="22"/>
                <w:highlight w:val="none"/>
              </w:rPr>
              <w:t>450</w:t>
            </w:r>
          </w:p>
        </w:tc>
        <w:tc>
          <w:tcPr>
            <w:tcW w:w="1559" w:type="dxa"/>
            <w:noWrap/>
            <w:vAlign w:val="center"/>
          </w:tcPr>
          <w:p w14:paraId="471F5E0A">
            <w:pPr>
              <w:widowControl/>
              <w:rPr>
                <w:rFonts w:eastAsia="等线"/>
                <w:color w:val="auto"/>
                <w:kern w:val="0"/>
                <w:sz w:val="22"/>
                <w:szCs w:val="22"/>
                <w:highlight w:val="none"/>
              </w:rPr>
            </w:pPr>
            <w:r>
              <w:rPr>
                <w:rFonts w:eastAsia="等线"/>
                <w:color w:val="auto"/>
                <w:kern w:val="0"/>
                <w:sz w:val="22"/>
                <w:szCs w:val="22"/>
                <w:highlight w:val="none"/>
              </w:rPr>
              <w:t>723.15</w:t>
            </w:r>
          </w:p>
        </w:tc>
        <w:tc>
          <w:tcPr>
            <w:tcW w:w="1559" w:type="dxa"/>
            <w:noWrap/>
            <w:vAlign w:val="center"/>
          </w:tcPr>
          <w:p w14:paraId="0B7827C1">
            <w:pPr>
              <w:widowControl/>
              <w:rPr>
                <w:rFonts w:eastAsia="等线"/>
                <w:color w:val="auto"/>
                <w:kern w:val="0"/>
                <w:sz w:val="22"/>
                <w:szCs w:val="22"/>
                <w:highlight w:val="none"/>
              </w:rPr>
            </w:pPr>
            <w:r>
              <w:rPr>
                <w:rFonts w:eastAsia="等线"/>
                <w:color w:val="auto"/>
                <w:kern w:val="0"/>
                <w:sz w:val="22"/>
                <w:szCs w:val="22"/>
                <w:highlight w:val="none"/>
              </w:rPr>
              <w:t>0.001296059</w:t>
            </w:r>
          </w:p>
        </w:tc>
      </w:tr>
      <w:tr w14:paraId="5617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2A10362F">
            <w:pPr>
              <w:widowControl/>
              <w:rPr>
                <w:rFonts w:eastAsia="等线"/>
                <w:color w:val="auto"/>
                <w:kern w:val="0"/>
                <w:sz w:val="22"/>
                <w:szCs w:val="22"/>
                <w:highlight w:val="none"/>
              </w:rPr>
            </w:pPr>
            <w:r>
              <w:rPr>
                <w:rFonts w:eastAsia="等线"/>
                <w:color w:val="auto"/>
                <w:kern w:val="0"/>
                <w:sz w:val="22"/>
                <w:szCs w:val="22"/>
                <w:highlight w:val="none"/>
              </w:rPr>
              <w:t>500</w:t>
            </w:r>
          </w:p>
        </w:tc>
        <w:tc>
          <w:tcPr>
            <w:tcW w:w="1559" w:type="dxa"/>
            <w:noWrap/>
            <w:vAlign w:val="center"/>
          </w:tcPr>
          <w:p w14:paraId="311E4F9C">
            <w:pPr>
              <w:widowControl/>
              <w:rPr>
                <w:rFonts w:eastAsia="等线"/>
                <w:color w:val="auto"/>
                <w:kern w:val="0"/>
                <w:sz w:val="22"/>
                <w:szCs w:val="22"/>
                <w:highlight w:val="none"/>
              </w:rPr>
            </w:pPr>
            <w:r>
              <w:rPr>
                <w:rFonts w:eastAsia="等线"/>
                <w:color w:val="auto"/>
                <w:kern w:val="0"/>
                <w:sz w:val="22"/>
                <w:szCs w:val="22"/>
                <w:highlight w:val="none"/>
              </w:rPr>
              <w:t>773.15</w:t>
            </w:r>
          </w:p>
        </w:tc>
        <w:tc>
          <w:tcPr>
            <w:tcW w:w="1559" w:type="dxa"/>
            <w:noWrap/>
            <w:vAlign w:val="center"/>
          </w:tcPr>
          <w:p w14:paraId="4A51FFB3">
            <w:pPr>
              <w:widowControl/>
              <w:rPr>
                <w:rFonts w:eastAsia="等线"/>
                <w:color w:val="auto"/>
                <w:kern w:val="0"/>
                <w:sz w:val="22"/>
                <w:szCs w:val="22"/>
                <w:highlight w:val="none"/>
              </w:rPr>
            </w:pPr>
            <w:r>
              <w:rPr>
                <w:rFonts w:eastAsia="等线"/>
                <w:color w:val="auto"/>
                <w:kern w:val="0"/>
                <w:sz w:val="22"/>
                <w:szCs w:val="22"/>
                <w:highlight w:val="none"/>
              </w:rPr>
              <w:t>0.001143539</w:t>
            </w:r>
          </w:p>
        </w:tc>
      </w:tr>
      <w:tr w14:paraId="0202F020">
        <w:tblPrEx>
          <w:tblCellMar>
            <w:top w:w="0" w:type="dxa"/>
            <w:left w:w="108" w:type="dxa"/>
            <w:bottom w:w="0" w:type="dxa"/>
            <w:right w:w="108" w:type="dxa"/>
          </w:tblCellMar>
        </w:tblPrEx>
        <w:trPr>
          <w:trHeight w:val="203" w:hRule="atLeast"/>
          <w:jc w:val="center"/>
        </w:trPr>
        <w:tc>
          <w:tcPr>
            <w:tcW w:w="1413" w:type="dxa"/>
            <w:noWrap/>
            <w:vAlign w:val="center"/>
          </w:tcPr>
          <w:p w14:paraId="474DC8BE">
            <w:pPr>
              <w:widowControl/>
              <w:rPr>
                <w:rFonts w:eastAsia="等线"/>
                <w:color w:val="auto"/>
                <w:kern w:val="0"/>
                <w:sz w:val="22"/>
                <w:szCs w:val="22"/>
                <w:highlight w:val="none"/>
              </w:rPr>
            </w:pPr>
            <w:r>
              <w:rPr>
                <w:rFonts w:eastAsia="等线"/>
                <w:color w:val="auto"/>
                <w:kern w:val="0"/>
                <w:sz w:val="22"/>
                <w:szCs w:val="22"/>
                <w:highlight w:val="none"/>
              </w:rPr>
              <w:t>550</w:t>
            </w:r>
          </w:p>
        </w:tc>
        <w:tc>
          <w:tcPr>
            <w:tcW w:w="1559" w:type="dxa"/>
            <w:noWrap/>
            <w:vAlign w:val="center"/>
          </w:tcPr>
          <w:p w14:paraId="17A4C3E0">
            <w:pPr>
              <w:widowControl/>
              <w:rPr>
                <w:rFonts w:eastAsia="等线"/>
                <w:color w:val="auto"/>
                <w:kern w:val="0"/>
                <w:sz w:val="22"/>
                <w:szCs w:val="22"/>
                <w:highlight w:val="none"/>
              </w:rPr>
            </w:pPr>
            <w:r>
              <w:rPr>
                <w:rFonts w:eastAsia="等线"/>
                <w:color w:val="auto"/>
                <w:kern w:val="0"/>
                <w:sz w:val="22"/>
                <w:szCs w:val="22"/>
                <w:highlight w:val="none"/>
              </w:rPr>
              <w:t>823.15</w:t>
            </w:r>
          </w:p>
        </w:tc>
        <w:tc>
          <w:tcPr>
            <w:tcW w:w="1559" w:type="dxa"/>
            <w:noWrap/>
            <w:vAlign w:val="center"/>
          </w:tcPr>
          <w:p w14:paraId="7D7B82CD">
            <w:pPr>
              <w:widowControl/>
              <w:rPr>
                <w:rFonts w:eastAsia="等线"/>
                <w:color w:val="auto"/>
                <w:kern w:val="0"/>
                <w:sz w:val="22"/>
                <w:szCs w:val="22"/>
                <w:highlight w:val="none"/>
              </w:rPr>
            </w:pPr>
            <w:r>
              <w:rPr>
                <w:rFonts w:eastAsia="等线"/>
                <w:color w:val="auto"/>
                <w:kern w:val="0"/>
                <w:sz w:val="22"/>
                <w:szCs w:val="22"/>
                <w:highlight w:val="none"/>
              </w:rPr>
              <w:t>0.001024431</w:t>
            </w:r>
          </w:p>
        </w:tc>
      </w:tr>
      <w:tr w14:paraId="5F2C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13" w:type="dxa"/>
            <w:noWrap/>
            <w:vAlign w:val="center"/>
          </w:tcPr>
          <w:p w14:paraId="101E7DE3">
            <w:pPr>
              <w:widowControl/>
              <w:rPr>
                <w:rFonts w:eastAsia="等线"/>
                <w:color w:val="auto"/>
                <w:kern w:val="0"/>
                <w:sz w:val="22"/>
                <w:szCs w:val="22"/>
                <w:highlight w:val="none"/>
              </w:rPr>
            </w:pPr>
            <w:r>
              <w:rPr>
                <w:rFonts w:eastAsia="等线"/>
                <w:color w:val="auto"/>
                <w:kern w:val="0"/>
                <w:sz w:val="22"/>
                <w:szCs w:val="22"/>
                <w:highlight w:val="none"/>
              </w:rPr>
              <w:t>600</w:t>
            </w:r>
          </w:p>
        </w:tc>
        <w:tc>
          <w:tcPr>
            <w:tcW w:w="1559" w:type="dxa"/>
            <w:noWrap/>
            <w:vAlign w:val="center"/>
          </w:tcPr>
          <w:p w14:paraId="30179476">
            <w:pPr>
              <w:widowControl/>
              <w:rPr>
                <w:rFonts w:eastAsia="等线"/>
                <w:color w:val="auto"/>
                <w:kern w:val="0"/>
                <w:sz w:val="22"/>
                <w:szCs w:val="22"/>
                <w:highlight w:val="none"/>
              </w:rPr>
            </w:pPr>
            <w:r>
              <w:rPr>
                <w:rFonts w:eastAsia="等线"/>
                <w:color w:val="auto"/>
                <w:kern w:val="0"/>
                <w:sz w:val="22"/>
                <w:szCs w:val="22"/>
                <w:highlight w:val="none"/>
              </w:rPr>
              <w:t>873.15</w:t>
            </w:r>
          </w:p>
        </w:tc>
        <w:tc>
          <w:tcPr>
            <w:tcW w:w="1559" w:type="dxa"/>
            <w:noWrap/>
            <w:vAlign w:val="center"/>
          </w:tcPr>
          <w:p w14:paraId="42A9695E">
            <w:pPr>
              <w:widowControl/>
              <w:rPr>
                <w:rFonts w:eastAsia="等线"/>
                <w:color w:val="auto"/>
                <w:kern w:val="0"/>
                <w:sz w:val="22"/>
                <w:szCs w:val="22"/>
                <w:highlight w:val="none"/>
              </w:rPr>
            </w:pPr>
            <w:r>
              <w:rPr>
                <w:rFonts w:eastAsia="等线"/>
                <w:color w:val="auto"/>
                <w:kern w:val="0"/>
                <w:sz w:val="22"/>
                <w:szCs w:val="22"/>
                <w:highlight w:val="none"/>
              </w:rPr>
              <w:t>0.000929362</w:t>
            </w:r>
          </w:p>
        </w:tc>
      </w:tr>
    </w:tbl>
    <w:p w14:paraId="7661F4F1">
      <w:pPr>
        <w:widowControl/>
        <w:rPr>
          <w:color w:val="auto"/>
          <w:highlight w:val="none"/>
        </w:rPr>
      </w:pPr>
    </w:p>
    <w:p w14:paraId="124112E0">
      <w:pPr>
        <w:widowControl/>
        <w:adjustRightInd w:val="0"/>
        <w:snapToGrid w:val="0"/>
        <w:spacing w:line="360" w:lineRule="auto"/>
        <w:rPr>
          <w:b/>
          <w:bCs/>
          <w:color w:val="auto"/>
          <w:kern w:val="0"/>
          <w:sz w:val="24"/>
          <w:highlight w:val="none"/>
        </w:rPr>
      </w:pPr>
      <w:r>
        <w:rPr>
          <w:b/>
          <w:bCs/>
          <w:color w:val="auto"/>
          <w:highlight w:val="none"/>
        </w:rPr>
        <w:t xml:space="preserve">1.3 </w:t>
      </w:r>
      <w:r>
        <w:rPr>
          <w:b/>
          <w:bCs/>
          <w:color w:val="auto"/>
          <w:kern w:val="0"/>
          <w:sz w:val="24"/>
          <w:highlight w:val="none"/>
        </w:rPr>
        <w:t>锂铅热容按公式3和4计算</w:t>
      </w:r>
    </w:p>
    <w:p w14:paraId="42B8F514">
      <w:pPr>
        <w:adjustRightInd w:val="0"/>
        <w:spacing w:before="100" w:line="300" w:lineRule="auto"/>
        <w:rPr>
          <w:color w:val="auto"/>
          <w:sz w:val="24"/>
          <w:highlight w:val="none"/>
        </w:rPr>
      </w:pPr>
      <w:r>
        <w:rPr>
          <w:color w:val="auto"/>
          <w:sz w:val="24"/>
          <w:highlight w:val="none"/>
        </w:rPr>
        <w:t xml:space="preserve">当 </w:t>
      </w:r>
      <w:r>
        <w:rPr>
          <w:color w:val="auto"/>
          <w:sz w:val="24"/>
          <w:highlight w:val="none"/>
        </w:rPr>
        <w:fldChar w:fldCharType="begin"/>
      </w:r>
      <w:r>
        <w:rPr>
          <w:color w:val="auto"/>
          <w:sz w:val="24"/>
          <w:highlight w:val="none"/>
        </w:rPr>
        <w:instrText xml:space="preserve"> QUOTE </w:instrText>
      </w:r>
      <w:r>
        <w:rPr>
          <w:color w:val="auto"/>
          <w:position w:val="-5"/>
          <w:highlight w:val="none"/>
        </w:rPr>
        <w:pict>
          <v:shape id="_x0000_i1031" o:spt="75" type="#_x0000_t75" style="height:13.9pt;width:85.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1F01&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4B1F01&quot; wsp:rsidP=&quot;004B1F01&quot;&gt;&lt;m:oMathPara&gt;&lt;m:oMath&gt;&lt;m:r&gt;&lt;w:rPr&gt;&lt;w:rFonts w:ascii=&quot;Cambria Math&quot; w:h-ansi=&quot;Cambria Math&quot;/&gt;&lt;wx:font wx:val=&quot;Cambria Math&quot;/&gt;&lt;w:i/&gt;&lt;w:sz w:val=&quot;24&quot;/&gt;&lt;/w:rPr&gt;&lt;m:t&gt;RT&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T&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508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 chromakey="#FFFFFF" o:title=""/>
            <o:lock v:ext="edit" aspectratio="t"/>
            <w10:wrap type="none"/>
            <w10:anchorlock/>
          </v:shape>
        </w:pict>
      </w:r>
      <w:r>
        <w:rPr>
          <w:color w:val="auto"/>
          <w:sz w:val="24"/>
          <w:highlight w:val="none"/>
        </w:rPr>
        <w:instrText xml:space="preserve"> </w:instrText>
      </w:r>
      <w:r>
        <w:rPr>
          <w:color w:val="auto"/>
          <w:sz w:val="24"/>
          <w:highlight w:val="none"/>
        </w:rPr>
        <w:fldChar w:fldCharType="separate"/>
      </w:r>
      <w:r>
        <w:rPr>
          <w:color w:val="auto"/>
          <w:position w:val="-5"/>
          <w:highlight w:val="none"/>
        </w:rPr>
        <w:pict>
          <v:shape id="_x0000_i1032" o:spt="75" type="#_x0000_t75" style="height:13.9pt;width:85.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1F01&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4B1F01&quot; wsp:rsidP=&quot;004B1F01&quot;&gt;&lt;m:oMathPara&gt;&lt;m:oMath&gt;&lt;m:r&gt;&lt;w:rPr&gt;&lt;w:rFonts w:ascii=&quot;Cambria Math&quot; w:h-ansi=&quot;Cambria Math&quot;/&gt;&lt;wx:font wx:val=&quot;Cambria Math&quot;/&gt;&lt;w:i/&gt;&lt;w:sz w:val=&quot;24&quot;/&gt;&lt;/w:rPr&gt;&lt;m:t&gt;RT&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T&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508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 chromakey="#FFFFFF" o:title=""/>
            <o:lock v:ext="edit" aspectratio="t"/>
            <w10:wrap type="none"/>
            <w10:anchorlock/>
          </v:shape>
        </w:pict>
      </w:r>
      <w:r>
        <w:rPr>
          <w:color w:val="auto"/>
          <w:sz w:val="24"/>
          <w:highlight w:val="none"/>
        </w:rPr>
        <w:fldChar w:fldCharType="end"/>
      </w:r>
      <w:r>
        <w:rPr>
          <w:color w:val="auto"/>
          <w:sz w:val="24"/>
          <w:highlight w:val="none"/>
        </w:rPr>
        <w:t xml:space="preserve"> 时：</w:t>
      </w:r>
    </w:p>
    <w:p w14:paraId="479E0F38">
      <w:pPr>
        <w:adjustRightInd w:val="0"/>
        <w:spacing w:before="100" w:line="300" w:lineRule="auto"/>
        <w:ind w:firstLine="480" w:firstLineChars="200"/>
        <w:jc w:val="right"/>
        <w:rPr>
          <w:color w:val="auto"/>
          <w:sz w:val="24"/>
          <w:highlight w:val="none"/>
        </w:rPr>
      </w:pPr>
      <w:r>
        <w:rPr>
          <w:color w:val="auto"/>
          <w:sz w:val="24"/>
          <w:highlight w:val="none"/>
        </w:rPr>
        <w:fldChar w:fldCharType="begin"/>
      </w:r>
      <w:r>
        <w:rPr>
          <w:color w:val="auto"/>
          <w:sz w:val="24"/>
          <w:highlight w:val="none"/>
        </w:rPr>
        <w:instrText xml:space="preserve"> QUOTE </w:instrText>
      </w:r>
      <w:r>
        <w:rPr>
          <w:color w:val="auto"/>
          <w:position w:val="-13"/>
          <w:highlight w:val="none"/>
        </w:rPr>
        <w:pict>
          <v:shape id="_x0000_i1033" o:spt="75" type="#_x0000_t75" style="height:19.95pt;width:208.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60E0&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5160E0&quot; wsp:rsidP=&quot;005160E0&quot;&gt;&lt;m:oMathPara&gt;&lt;m:oMath&gt;&lt;m:sSub&gt;&lt;m:sSubPr&gt;&lt;m:ctrlPr&gt;&lt;w:rPr&gt;&lt;w:rFonts w:ascii=&quot;Cambria Math&quot; w:h-ansi=&quot;Cambria Math&quot;/&gt;&lt;wx:font wx:val=&quot;Cambria Math&quot;/&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p&lt;/m:t&gt;&lt;/m:r&gt;&lt;/m:sub&gt;&lt;/m:sSub&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0.02417&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3.927&lt;/m:t&gt;&lt;/m:r&gt;&lt;m:r&gt;&lt;m:rPr&gt;&lt;m:sty m:val=&quot;p&quot;/&gt;&lt;/m:rPr&gt;&lt;w:rPr&gt;&lt;w:rFonts w:ascii=&quot;Cambria Math&quot; w:h-ansi=&quot;Cambria Math&quot;/&gt;&lt;wx:font wx:val=&quot;Cambria Math&quot;/&gt;&lt;w:sz w:val=&quot;24&quot;/&gt;&lt;/w:rPr&gt;&lt;m:t&gt;×&lt;/m:t&gt;&lt;/m:r&gt;&lt;m:sSup&gt;&lt;m:sSupPr&gt;&lt;m:ctrlPr&gt;&lt;w:rPr&gt;&lt;w:rFonts w:ascii=&quot;Cambria Math&quot; w:h-ansi=&quot;Cambria Math&quot;/&gt;&lt;wx:font wx:val=&quot;Cambria Math&quot;/&gt;&lt;w:sz w:val=&quot;24&quot;/&gt;&lt;/w:rPr&gt;&lt;/m:ctrlPr&gt;&lt;/m:sSupPr&gt;&lt;m:e&gt;&lt;m:r&gt;&lt;w:rPr&gt;&lt;w:rFonts w:ascii=&quot;Cambria Math&quot; w:h-ansi=&quot;Cambria Math&quot;/&gt;&lt;wx:font wx:val=&quot;Cambria Math&quot;/&gt;&lt;w:i/&gt;&lt;w:sz w:val=&quot;24&quot;/&gt;&lt;/w:rPr&gt;&lt;m:t&gt;10&lt;/m:t&gt;&lt;/m:r&gt;&lt;/m:e&gt;&lt;m:sup&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4&lt;/m:t&gt;&lt;/m:r&gt;&lt;/m:sup&gt;&lt;/m:sSup&gt;&lt;m:r&gt;&lt;w:rPr&gt;&lt;w:rFonts w:ascii=&quot;Cambria Math&quot; w:h-ansi=&quot;Cambria Math&quot;/&gt;&lt;wx:font wx:val=&quot;Cambria Math&quot;/&gt;&lt;w:i/&gt;&lt;w:sz w:val=&quot;24&quot;/&gt;&lt;/w:rPr&gt;&lt;m:t&gt;T&lt;/m:t&gt;&lt;/m:r&gt;&lt;m:r&gt;&lt;m:rPr&gt;&lt;m:sty m:val=&quot;p&quot;/&gt;&lt;/m:rPr&gt;&lt;w:rPr&gt;&lt;w:rFonts w:ascii=&quot;Cambria Math&quot; w:h-ansi=&quot;Cambria Math&quot;/&gt;&lt;wx:font wx:val=&quot;Cambria Math&quot;/&gt;&lt;w:sz w:val=&quot;24&quot;/&gt;&lt;/w:rPr&gt;&lt;m:t&gt;+&lt;/m:t&gt;&lt;/m:r&gt;&lt;m:f&gt;&lt;m:fPr&gt;&lt;m:ctrlPr&gt;&lt;w:rPr&gt;&lt;w:rFonts w:ascii=&quot;Cambria Math&quot; w:h-ansi=&quot;Cambria Math&quot;/&gt;&lt;wx:font wx:val=&quot;Cambria Math&quot;/&gt;&lt;w:sz w:val=&quot;24&quot;/&gt;&lt;/w:rPr&gt;&lt;/m:ctrlPr&gt;&lt;/m:fPr&gt;&lt;m:num&gt;&lt;m:r&gt;&lt;w:rPr&gt;&lt;w:rFonts w:ascii=&quot;Cambria Math&quot; w:h-ansi=&quot;Cambria Math&quot;/&gt;&lt;wx:font wx:val=&quot;Cambria Math&quot;/&gt;&lt;w:i/&gt;&lt;w:sz w:val=&quot;24&quot;/&gt;&lt;/w:rPr&gt;&lt;m:t&gt;4986.7&lt;/m:t&gt;&lt;/m:r&gt;&lt;/m:num&gt;&lt;m:den&gt;&lt;m:sSup&gt;&lt;m:sSupPr&gt;&lt;m:ctrlPr&gt;&lt;w:rPr&gt;&lt;w:rFonts w:ascii=&quot;Cambria Math&quot; w:h-ansi=&quot;Cambria Math&quot;/&gt;&lt;wx:font wx:val=&quot;Cambria Math&quot;/&gt;&lt;w:sz w:val=&quot;24&quot;/&gt;&lt;/w:rPr&gt;&lt;/m:ctrlPr&gt;&lt;/m:sSupPr&gt;&lt;m:e&gt;&lt;m:r&gt;&lt;w:rPr&gt;&lt;w:rFonts w:ascii=&quot;Cambria Math&quot; w:h-ansi=&quot;Cambria Math&quot;/&gt;&lt;wx:font wx:val=&quot;Cambria Math&quot;/&gt;&lt;w:i/&gt;&lt;w:sz w:val=&quot;24&quot;/&gt;&lt;/w:rPr&gt;&lt;m:t&gt;T&lt;/m:t&gt;&lt;/m:r&gt;&lt;/m:e&gt;&lt;m:sup&gt;&lt;m:r&gt;&lt;w:rPr&gt;&lt;w:rFonts w:ascii=&quot;Cambria Math&quot; w:h-ansi=&quot;Cambria Math&quot;/&gt;&lt;wx:font wx:val=&quot;Cambria Math&quot;/&gt;&lt;w:i/&gt;&lt;w:sz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 chromakey="#FFFFFF" o:title=""/>
            <o:lock v:ext="edit" aspectratio="t"/>
            <w10:wrap type="none"/>
            <w10:anchorlock/>
          </v:shape>
        </w:pict>
      </w:r>
      <w:r>
        <w:rPr>
          <w:color w:val="auto"/>
          <w:sz w:val="24"/>
          <w:highlight w:val="none"/>
        </w:rPr>
        <w:instrText xml:space="preserve"> </w:instrText>
      </w:r>
      <w:r>
        <w:rPr>
          <w:color w:val="auto"/>
          <w:sz w:val="24"/>
          <w:highlight w:val="none"/>
        </w:rPr>
        <w:fldChar w:fldCharType="separate"/>
      </w:r>
      <w:r>
        <w:rPr>
          <w:color w:val="auto"/>
          <w:position w:val="-13"/>
          <w:highlight w:val="none"/>
        </w:rPr>
        <w:pict>
          <v:shape id="_x0000_i1034" o:spt="75" type="#_x0000_t75" style="height:19.95pt;width:208.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60E0&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5160E0&quot; wsp:rsidP=&quot;005160E0&quot;&gt;&lt;m:oMathPara&gt;&lt;m:oMath&gt;&lt;m:sSub&gt;&lt;m:sSubPr&gt;&lt;m:ctrlPr&gt;&lt;w:rPr&gt;&lt;w:rFonts w:ascii=&quot;Cambria Math&quot; w:h-ansi=&quot;Cambria Math&quot;/&gt;&lt;wx:font wx:val=&quot;Cambria Math&quot;/&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p&lt;/m:t&gt;&lt;/m:r&gt;&lt;/m:sub&gt;&lt;/m:sSub&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0.02417&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3.927&lt;/m:t&gt;&lt;/m:r&gt;&lt;m:r&gt;&lt;m:rPr&gt;&lt;m:sty m:val=&quot;p&quot;/&gt;&lt;/m:rPr&gt;&lt;w:rPr&gt;&lt;w:rFonts w:ascii=&quot;Cambria Math&quot; w:h-ansi=&quot;Cambria Math&quot;/&gt;&lt;wx:font wx:val=&quot;Cambria Math&quot;/&gt;&lt;w:sz w:val=&quot;24&quot;/&gt;&lt;/w:rPr&gt;&lt;m:t&gt;×&lt;/m:t&gt;&lt;/m:r&gt;&lt;m:sSup&gt;&lt;m:sSupPr&gt;&lt;m:ctrlPr&gt;&lt;w:rPr&gt;&lt;w:rFonts w:ascii=&quot;Cambria Math&quot; w:h-ansi=&quot;Cambria Math&quot;/&gt;&lt;wx:font wx:val=&quot;Cambria Math&quot;/&gt;&lt;w:sz w:val=&quot;24&quot;/&gt;&lt;/w:rPr&gt;&lt;/m:ctrlPr&gt;&lt;/m:sSupPr&gt;&lt;m:e&gt;&lt;m:r&gt;&lt;w:rPr&gt;&lt;w:rFonts w:ascii=&quot;Cambria Math&quot; w:h-ansi=&quot;Cambria Math&quot;/&gt;&lt;wx:font wx:val=&quot;Cambria Math&quot;/&gt;&lt;w:i/&gt;&lt;w:sz w:val=&quot;24&quot;/&gt;&lt;/w:rPr&gt;&lt;m:t&gt;10&lt;/m:t&gt;&lt;/m:r&gt;&lt;/m:e&gt;&lt;m:sup&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4&lt;/m:t&gt;&lt;/m:r&gt;&lt;/m:sup&gt;&lt;/m:sSup&gt;&lt;m:r&gt;&lt;w:rPr&gt;&lt;w:rFonts w:ascii=&quot;Cambria Math&quot; w:h-ansi=&quot;Cambria Math&quot;/&gt;&lt;wx:font wx:val=&quot;Cambria Math&quot;/&gt;&lt;w:i/&gt;&lt;w:sz w:val=&quot;24&quot;/&gt;&lt;/w:rPr&gt;&lt;m:t&gt;T&lt;/m:t&gt;&lt;/m:r&gt;&lt;m:r&gt;&lt;m:rPr&gt;&lt;m:sty m:val=&quot;p&quot;/&gt;&lt;/m:rPr&gt;&lt;w:rPr&gt;&lt;w:rFonts w:ascii=&quot;Cambria Math&quot; w:h-ansi=&quot;Cambria Math&quot;/&gt;&lt;wx:font wx:val=&quot;Cambria Math&quot;/&gt;&lt;w:sz w:val=&quot;24&quot;/&gt;&lt;/w:rPr&gt;&lt;m:t&gt;+&lt;/m:t&gt;&lt;/m:r&gt;&lt;m:f&gt;&lt;m:fPr&gt;&lt;m:ctrlPr&gt;&lt;w:rPr&gt;&lt;w:rFonts w:ascii=&quot;Cambria Math&quot; w:h-ansi=&quot;Cambria Math&quot;/&gt;&lt;wx:font wx:val=&quot;Cambria Math&quot;/&gt;&lt;w:sz w:val=&quot;24&quot;/&gt;&lt;/w:rPr&gt;&lt;/m:ctrlPr&gt;&lt;/m:fPr&gt;&lt;m:num&gt;&lt;m:r&gt;&lt;w:rPr&gt;&lt;w:rFonts w:ascii=&quot;Cambria Math&quot; w:h-ansi=&quot;Cambria Math&quot;/&gt;&lt;wx:font wx:val=&quot;Cambria Math&quot;/&gt;&lt;w:i/&gt;&lt;w:sz w:val=&quot;24&quot;/&gt;&lt;/w:rPr&gt;&lt;m:t&gt;4986.7&lt;/m:t&gt;&lt;/m:r&gt;&lt;/m:num&gt;&lt;m:den&gt;&lt;m:sSup&gt;&lt;m:sSupPr&gt;&lt;m:ctrlPr&gt;&lt;w:rPr&gt;&lt;w:rFonts w:ascii=&quot;Cambria Math&quot; w:h-ansi=&quot;Cambria Math&quot;/&gt;&lt;wx:font wx:val=&quot;Cambria Math&quot;/&gt;&lt;w:sz w:val=&quot;24&quot;/&gt;&lt;/w:rPr&gt;&lt;/m:ctrlPr&gt;&lt;/m:sSupPr&gt;&lt;m:e&gt;&lt;m:r&gt;&lt;w:rPr&gt;&lt;w:rFonts w:ascii=&quot;Cambria Math&quot; w:h-ansi=&quot;Cambria Math&quot;/&gt;&lt;wx:font wx:val=&quot;Cambria Math&quot;/&gt;&lt;w:i/&gt;&lt;w:sz w:val=&quot;24&quot;/&gt;&lt;/w:rPr&gt;&lt;m:t&gt;T&lt;/m:t&gt;&lt;/m:r&gt;&lt;/m:e&gt;&lt;m:sup&gt;&lt;m:r&gt;&lt;w:rPr&gt;&lt;w:rFonts w:ascii=&quot;Cambria Math&quot; w:h-ansi=&quot;Cambria Math&quot;/&gt;&lt;wx:font wx:val=&quot;Cambria Math&quot;/&gt;&lt;w:i/&gt;&lt;w:sz w:val=&quot;24&quot;/&gt;&lt;/w:rPr&gt;&lt;m:t&gt;2&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 chromakey="#FFFFFF" o:title=""/>
            <o:lock v:ext="edit" aspectratio="t"/>
            <w10:wrap type="none"/>
            <w10:anchorlock/>
          </v:shape>
        </w:pict>
      </w:r>
      <w:r>
        <w:rPr>
          <w:color w:val="auto"/>
          <w:sz w:val="24"/>
          <w:highlight w:val="none"/>
        </w:rPr>
        <w:fldChar w:fldCharType="end"/>
      </w:r>
      <w:r>
        <w:rPr>
          <w:color w:val="auto"/>
          <w:sz w:val="24"/>
          <w:highlight w:val="none"/>
        </w:rPr>
        <w:t xml:space="preserve"> </w:t>
      </w:r>
      <w:r>
        <w:rPr>
          <w:iCs/>
          <w:color w:val="auto"/>
          <w:sz w:val="24"/>
          <w:highlight w:val="none"/>
        </w:rPr>
        <w:t>…………………式3</w:t>
      </w:r>
    </w:p>
    <w:p w14:paraId="6343022B">
      <w:pPr>
        <w:widowControl/>
        <w:spacing w:before="180" w:after="180"/>
        <w:jc w:val="left"/>
        <w:rPr>
          <w:color w:val="auto"/>
          <w:kern w:val="0"/>
          <w:sz w:val="24"/>
          <w:highlight w:val="none"/>
        </w:rPr>
      </w:pPr>
      <w:r>
        <w:rPr>
          <w:color w:val="auto"/>
          <w:kern w:val="0"/>
          <w:sz w:val="24"/>
          <w:highlight w:val="none"/>
        </w:rPr>
        <w:t xml:space="preserve">当 </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35" o:spt="75" type="#_x0000_t75" style="height:13.9pt;width:90.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2913&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22913&quot; wsp:rsidP=&quot;00622913&quot;&gt;&lt;m:oMathPara&gt;&lt;m:oMath&gt;&lt;m:r&gt;&lt;w:rPr&gt;&lt;w:rFonts w:ascii=&quot;Cambria Math&quot; w:h-ansi=&quot;Cambria Math&quot;/&gt;&lt;wx:font wx:val=&quot;Cambria Math&quot;/&gt;&lt;w:i/&gt;&lt;w:kern w:val=&quot;0&quot;/&gt;&lt;w:sz w:val=&quot;24&quot;/&gt;&lt;/w:rPr&gt;&lt;m:t&gt;508&lt;/m:t&gt;&lt;/m:r&gt;&lt;m:r&gt;&lt;m:rPr&gt;&lt;m:sty m:val=&quot;p&quot;/&gt;&lt;/m:rPr&gt;&lt;w:rPr&gt;&lt;w:rFonts w:ascii=&quot;Cambria Math&quot; w:h-ansi=&quot;Cambria Math&quot;/&gt;&lt;wx:font wx:val=&quot;Cambria Math&quot;/&gt;&lt;w:kern w:val=&quot;0&quot;/&gt;&lt;w:sz w:val=&quot;24&quot;/&gt;&lt;/w:rPr&gt;&lt;m:t&gt;≤&lt;/m:t&gt;&lt;/m:r&gt;&lt;m:r&gt;&lt;w:rPr&gt;&lt;w:rFonts w:ascii=&quot;Cambria Math&quot; w:h-ansi=&quot;Cambria Math&quot;/&gt;&lt;wx:font wx:val=&quot;Cambria Math&quot;/&gt;&lt;w:i/&gt;&lt;w:kern w:val=&quot;0&quot;/&gt;&lt;w:sz w:val=&quot;24&quot;/&gt;&lt;/w:rPr&gt;&lt;m:t&gt;T&lt;/m:t&gt;&lt;/m:r&gt;&lt;m:r&gt;&lt;m:rPr&gt;&lt;m:sty m:val=&quot;p&quot;/&gt;&lt;/m:rPr&gt;&lt;w:rPr&gt;&lt;w:rFonts w:ascii=&quot;Cambria Math&quot; w:h-ansi=&quot;Cambria Math&quot;/&gt;&lt;wx:font wx:val=&quot;Cambria Math&quot;/&gt;&lt;w:kern w:val=&quot;0&quot;/&gt;&lt;w:sz w:val=&quot;24&quot;/&gt;&lt;/w:rPr&gt;&lt;m:t&gt;≤&lt;/m:t&gt;&lt;/m:r&gt;&lt;m:r&gt;&lt;w:rPr&gt;&lt;w:rFonts w:ascii=&quot;Cambria Math&quot; w:h-ansi=&quot;Cambria Math&quot;/&gt;&lt;wx:font wx:val=&quot;Cambria Math&quot;/&gt;&lt;w:i/&gt;&lt;w:kern w:val=&quot;0&quot;/&gt;&lt;w:sz w:val=&quot;24&quot;/&gt;&lt;/w:rPr&gt;&lt;m:t&gt;800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9"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36" o:spt="75" type="#_x0000_t75" style="height:13.9pt;width:90.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2913&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22913&quot; wsp:rsidP=&quot;00622913&quot;&gt;&lt;m:oMathPara&gt;&lt;m:oMath&gt;&lt;m:r&gt;&lt;w:rPr&gt;&lt;w:rFonts w:ascii=&quot;Cambria Math&quot; w:h-ansi=&quot;Cambria Math&quot;/&gt;&lt;wx:font wx:val=&quot;Cambria Math&quot;/&gt;&lt;w:i/&gt;&lt;w:kern w:val=&quot;0&quot;/&gt;&lt;w:sz w:val=&quot;24&quot;/&gt;&lt;/w:rPr&gt;&lt;m:t&gt;508&lt;/m:t&gt;&lt;/m:r&gt;&lt;m:r&gt;&lt;m:rPr&gt;&lt;m:sty m:val=&quot;p&quot;/&gt;&lt;/m:rPr&gt;&lt;w:rPr&gt;&lt;w:rFonts w:ascii=&quot;Cambria Math&quot; w:h-ansi=&quot;Cambria Math&quot;/&gt;&lt;wx:font wx:val=&quot;Cambria Math&quot;/&gt;&lt;w:kern w:val=&quot;0&quot;/&gt;&lt;w:sz w:val=&quot;24&quot;/&gt;&lt;/w:rPr&gt;&lt;m:t&gt;≤&lt;/m:t&gt;&lt;/m:r&gt;&lt;m:r&gt;&lt;w:rPr&gt;&lt;w:rFonts w:ascii=&quot;Cambria Math&quot; w:h-ansi=&quot;Cambria Math&quot;/&gt;&lt;wx:font wx:val=&quot;Cambria Math&quot;/&gt;&lt;w:i/&gt;&lt;w:kern w:val=&quot;0&quot;/&gt;&lt;w:sz w:val=&quot;24&quot;/&gt;&lt;/w:rPr&gt;&lt;m:t&gt;T&lt;/m:t&gt;&lt;/m:r&gt;&lt;m:r&gt;&lt;m:rPr&gt;&lt;m:sty m:val=&quot;p&quot;/&gt;&lt;/m:rPr&gt;&lt;w:rPr&gt;&lt;w:rFonts w:ascii=&quot;Cambria Math&quot; w:h-ansi=&quot;Cambria Math&quot;/&gt;&lt;wx:font wx:val=&quot;Cambria Math&quot;/&gt;&lt;w:kern w:val=&quot;0&quot;/&gt;&lt;w:sz w:val=&quot;24&quot;/&gt;&lt;/w:rPr&gt;&lt;m:t&gt;≤&lt;/m:t&gt;&lt;/m:r&gt;&lt;m:r&gt;&lt;w:rPr&gt;&lt;w:rFonts w:ascii=&quot;Cambria Math&quot; w:h-ansi=&quot;Cambria Math&quot;/&gt;&lt;wx:font wx:val=&quot;Cambria Math&quot;/&gt;&lt;w:i/&gt;&lt;w:kern w:val=&quot;0&quot;/&gt;&lt;w:sz w:val=&quot;24&quot;/&gt;&lt;/w:rPr&gt;&lt;m:t&gt;800 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9" chromakey="#FFFFFF" o:title=""/>
            <o:lock v:ext="edit" aspectratio="t"/>
            <w10:wrap type="none"/>
            <w10:anchorlock/>
          </v:shape>
        </w:pict>
      </w:r>
      <w:r>
        <w:rPr>
          <w:color w:val="auto"/>
          <w:kern w:val="0"/>
          <w:sz w:val="24"/>
          <w:highlight w:val="none"/>
        </w:rPr>
        <w:fldChar w:fldCharType="end"/>
      </w:r>
      <w:r>
        <w:rPr>
          <w:color w:val="auto"/>
          <w:kern w:val="0"/>
          <w:sz w:val="24"/>
          <w:highlight w:val="none"/>
        </w:rPr>
        <w:t xml:space="preserve"> 时：</w:t>
      </w:r>
    </w:p>
    <w:p w14:paraId="5228E057">
      <w:pPr>
        <w:adjustRightInd w:val="0"/>
        <w:spacing w:before="100" w:line="300" w:lineRule="auto"/>
        <w:ind w:firstLine="480" w:firstLineChars="200"/>
        <w:jc w:val="right"/>
        <w:rPr>
          <w:color w:val="auto"/>
          <w:sz w:val="24"/>
          <w:highlight w:val="none"/>
        </w:rPr>
      </w:pPr>
      <w:r>
        <w:rPr>
          <w:iCs/>
          <w:color w:val="auto"/>
          <w:sz w:val="24"/>
          <w:highlight w:val="none"/>
        </w:rPr>
        <w:fldChar w:fldCharType="begin"/>
      </w:r>
      <w:r>
        <w:rPr>
          <w:iCs/>
          <w:color w:val="auto"/>
          <w:sz w:val="24"/>
          <w:highlight w:val="none"/>
        </w:rPr>
        <w:instrText xml:space="preserve"> QUOTE </w:instrText>
      </w:r>
      <w:r>
        <w:rPr>
          <w:color w:val="auto"/>
          <w:position w:val="-9"/>
          <w:highlight w:val="none"/>
        </w:rPr>
        <w:pict>
          <v:shape id="_x0000_i1037" o:spt="75" type="#_x0000_t75" style="height:15.75pt;width:14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872&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CE7872&quot; wsp:rsidP=&quot;00CE7872&quot;&gt;&lt;m:oMathPara&gt;&lt;m:oMath&gt;&lt;m:sSub&gt;&lt;m:sSubPr&gt;&lt;m:ctrlPr&gt;&lt;w:rPr&gt;&lt;w:rFonts w:ascii=&quot;Cambria Math&quot; w:h-ansi=&quot;Cambria Math&quot;/&gt;&lt;wx:font wx:val=&quot;Cambria Math&quot;/&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p&lt;/m:t&gt;&lt;/m:r&gt;&lt;/m:sub&gt;&lt;/m:sSub&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0.195&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9.116&lt;/m:t&gt;&lt;/m:r&gt;&lt;m:r&gt;&lt;m:rPr&gt;&lt;m:sty m:val=&quot;p&quot;/&gt;&lt;/m:rPr&gt;&lt;w:rPr&gt;&lt;w:rFonts w:ascii=&quot;Cambria Math&quot; w:h-ansi=&quot;Cambria Math&quot;/&gt;&lt;wx:font wx:val=&quot;Cambria Math&quot;/&gt;&lt;w:sz w:val=&quot;24&quot;/&gt;&lt;/w:rPr&gt;&lt;m:t&gt;×&lt;/m:t&gt;&lt;/m:r&gt;&lt;m:sSup&gt;&lt;m:sSupPr&gt;&lt;m:ctrlPr&gt;&lt;w:rPr&gt;&lt;w:rFonts w:ascii=&quot;Cambria Math&quot; w:h-ansi=&quot;Cambria Math&quot;/&gt;&lt;wx:font wx:val=&quot;Cambria Math&quot;/&gt;&lt;w:sz w:val=&quot;24&quot;/&gt;&lt;/w:rPr&gt;&lt;/m:ctrlPr&gt;&lt;/m:sSupPr&gt;&lt;m:e&gt;&lt;m:r&gt;&lt;w:rPr&gt;&lt;w:rFonts w:ascii=&quot;Cambria Math&quot; w:h-ansi=&quot;Cambria Math&quot;/&gt;&lt;wx:font wx:val=&quot;Cambria Math&quot;/&gt;&lt;w:i/&gt;&lt;w:sz w:val=&quot;24&quot;/&gt;&lt;/w:rPr&gt;&lt;m:t&gt;10&lt;/m:t&gt;&lt;/m:r&gt;&lt;/m:e&gt;&lt;m:sup&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6&lt;/m:t&gt;&lt;/m:r&gt;&lt;/m:sup&gt;&lt;/m:sSup&gt;&lt;m:r&gt;&lt;w:rPr&gt;&lt;w:rFonts w:ascii=&quot;Cambria Math&quot; w:h-ansi=&quot;Cambria Math&quot;/&gt;&lt;wx:font wx:val=&quot;Cambria Math&quot;/&gt;&lt;w:i/&gt;&lt;w:sz w:val=&quot;24&quot;/&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0" chromakey="#FFFFFF" o:title=""/>
            <o:lock v:ext="edit" aspectratio="t"/>
            <w10:wrap type="none"/>
            <w10:anchorlock/>
          </v:shape>
        </w:pict>
      </w:r>
      <w:r>
        <w:rPr>
          <w:iCs/>
          <w:color w:val="auto"/>
          <w:sz w:val="24"/>
          <w:highlight w:val="none"/>
        </w:rPr>
        <w:instrText xml:space="preserve"> </w:instrText>
      </w:r>
      <w:r>
        <w:rPr>
          <w:iCs/>
          <w:color w:val="auto"/>
          <w:sz w:val="24"/>
          <w:highlight w:val="none"/>
        </w:rPr>
        <w:fldChar w:fldCharType="separate"/>
      </w:r>
      <w:r>
        <w:rPr>
          <w:color w:val="auto"/>
          <w:position w:val="-9"/>
          <w:highlight w:val="none"/>
        </w:rPr>
        <w:pict>
          <v:shape id="_x0000_i1038" o:spt="75" type="#_x0000_t75" style="height:15.75pt;width:145.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872&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CE7872&quot; wsp:rsidP=&quot;00CE7872&quot;&gt;&lt;m:oMathPara&gt;&lt;m:oMath&gt;&lt;m:sSub&gt;&lt;m:sSubPr&gt;&lt;m:ctrlPr&gt;&lt;w:rPr&gt;&lt;w:rFonts w:ascii=&quot;Cambria Math&quot; w:h-ansi=&quot;Cambria Math&quot;/&gt;&lt;wx:font wx:val=&quot;Cambria Math&quot;/&gt;&lt;w:sz w:val=&quot;24&quot;/&gt;&lt;/w:rPr&gt;&lt;/m:ctrlPr&gt;&lt;/m:sSubPr&gt;&lt;m:e&gt;&lt;m:r&gt;&lt;w:rPr&gt;&lt;w:rFonts w:ascii=&quot;Cambria Math&quot; w:h-ansi=&quot;Cambria Math&quot;/&gt;&lt;wx:font wx:val=&quot;Cambria Math&quot;/&gt;&lt;w:i/&gt;&lt;w:sz w:val=&quot;24&quot;/&gt;&lt;/w:rPr&gt;&lt;m:t&gt;c&lt;/m:t&gt;&lt;/m:r&gt;&lt;/m:e&gt;&lt;m:sub&gt;&lt;m:r&gt;&lt;w:rPr&gt;&lt;w:rFonts w:ascii=&quot;Cambria Math&quot; w:h-ansi=&quot;Cambria Math&quot;/&gt;&lt;wx:font wx:val=&quot;Cambria Math&quot;/&gt;&lt;w:i/&gt;&lt;w:sz w:val=&quot;24&quot;/&gt;&lt;/w:rPr&gt;&lt;m:t&gt;p&lt;/m:t&gt;&lt;/m:r&gt;&lt;/m:sub&gt;&lt;/m:sSub&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0.195&lt;/m:t&gt;&lt;/m:r&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9.116&lt;/m:t&gt;&lt;/m:r&gt;&lt;m:r&gt;&lt;m:rPr&gt;&lt;m:sty m:val=&quot;p&quot;/&gt;&lt;/m:rPr&gt;&lt;w:rPr&gt;&lt;w:rFonts w:ascii=&quot;Cambria Math&quot; w:h-ansi=&quot;Cambria Math&quot;/&gt;&lt;wx:font wx:val=&quot;Cambria Math&quot;/&gt;&lt;w:sz w:val=&quot;24&quot;/&gt;&lt;/w:rPr&gt;&lt;m:t&gt;×&lt;/m:t&gt;&lt;/m:r&gt;&lt;m:sSup&gt;&lt;m:sSupPr&gt;&lt;m:ctrlPr&gt;&lt;w:rPr&gt;&lt;w:rFonts w:ascii=&quot;Cambria Math&quot; w:h-ansi=&quot;Cambria Math&quot;/&gt;&lt;wx:font wx:val=&quot;Cambria Math&quot;/&gt;&lt;w:sz w:val=&quot;24&quot;/&gt;&lt;/w:rPr&gt;&lt;/m:ctrlPr&gt;&lt;/m:sSupPr&gt;&lt;m:e&gt;&lt;m:r&gt;&lt;w:rPr&gt;&lt;w:rFonts w:ascii=&quot;Cambria Math&quot; w:h-ansi=&quot;Cambria Math&quot;/&gt;&lt;wx:font wx:val=&quot;Cambria Math&quot;/&gt;&lt;w:i/&gt;&lt;w:sz w:val=&quot;24&quot;/&gt;&lt;/w:rPr&gt;&lt;m:t&gt;10&lt;/m:t&gt;&lt;/m:r&gt;&lt;/m:e&gt;&lt;m:sup&gt;&lt;m:r&gt;&lt;m:rPr&gt;&lt;m:sty m:val=&quot;p&quot;/&gt;&lt;/m:rPr&gt;&lt;w:rPr&gt;&lt;w:rFonts w:ascii=&quot;Cambria Math&quot; w:h-ansi=&quot;Cambria Math&quot;/&gt;&lt;wx:font wx:val=&quot;Cambria Math&quot;/&gt;&lt;w:sz w:val=&quot;24&quot;/&gt;&lt;/w:rPr&gt;&lt;m:t&gt;-&lt;/m:t&gt;&lt;/m:r&gt;&lt;m:r&gt;&lt;w:rPr&gt;&lt;w:rFonts w:ascii=&quot;Cambria Math&quot; w:h-ansi=&quot;Cambria Math&quot;/&gt;&lt;wx:font wx:val=&quot;Cambria Math&quot;/&gt;&lt;w:i/&gt;&lt;w:sz w:val=&quot;24&quot;/&gt;&lt;/w:rPr&gt;&lt;m:t&gt;6&lt;/m:t&gt;&lt;/m:r&gt;&lt;/m:sup&gt;&lt;/m:sSup&gt;&lt;m:r&gt;&lt;w:rPr&gt;&lt;w:rFonts w:ascii=&quot;Cambria Math&quot; w:h-ansi=&quot;Cambria Math&quot;/&gt;&lt;wx:font wx:val=&quot;Cambria Math&quot;/&gt;&lt;w:i/&gt;&lt;w:sz w:val=&quot;24&quot;/&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0" chromakey="#FFFFFF" o:title=""/>
            <o:lock v:ext="edit" aspectratio="t"/>
            <w10:wrap type="none"/>
            <w10:anchorlock/>
          </v:shape>
        </w:pict>
      </w:r>
      <w:r>
        <w:rPr>
          <w:iCs/>
          <w:color w:val="auto"/>
          <w:sz w:val="24"/>
          <w:highlight w:val="none"/>
        </w:rPr>
        <w:fldChar w:fldCharType="end"/>
      </w:r>
      <w:r>
        <w:rPr>
          <w:iCs/>
          <w:color w:val="auto"/>
          <w:sz w:val="24"/>
          <w:highlight w:val="none"/>
        </w:rPr>
        <w:t>………………………………….式4</w:t>
      </w:r>
    </w:p>
    <w:p w14:paraId="580359E5">
      <w:pPr>
        <w:widowControl/>
        <w:spacing w:before="180" w:after="180"/>
        <w:jc w:val="left"/>
        <w:rPr>
          <w:color w:val="auto"/>
          <w:kern w:val="0"/>
          <w:sz w:val="24"/>
          <w:highlight w:val="none"/>
        </w:rPr>
      </w:pPr>
      <w:r>
        <w:rPr>
          <w:color w:val="auto"/>
          <w:kern w:val="0"/>
          <w:sz w:val="24"/>
          <w:highlight w:val="none"/>
        </w:rPr>
        <w:t>单位说明：</w:t>
      </w:r>
    </w:p>
    <w:p w14:paraId="29D32E9F">
      <w:pPr>
        <w:adjustRightInd w:val="0"/>
        <w:spacing w:before="100" w:line="300" w:lineRule="auto"/>
        <w:ind w:firstLine="480" w:firstLineChars="200"/>
        <w:jc w:val="center"/>
        <w:rPr>
          <w:color w:val="auto"/>
          <w:sz w:val="24"/>
          <w:highlight w:val="none"/>
        </w:rPr>
      </w:pPr>
      <m:oMathPara>
        <m:oMathParaPr>
          <m:jc m:val="center"/>
        </m:oMathParaPr>
        <m:oMath>
          <m:r>
            <m:rPr>
              <m:sty m:val="p"/>
            </m:rPr>
            <w:rPr>
              <w:rFonts w:ascii="Cambria Math" w:hAnsi="Cambria Math"/>
              <w:sz w:val="24"/>
            </w:rPr>
            <m:t>[</m:t>
          </m:r>
          <m:sSub>
            <m:sSubPr>
              <m:ctrlPr>
                <w:rPr>
                  <w:rFonts w:ascii="Cambria Math" w:hAnsi="Cambria Math"/>
                  <w:sz w:val="24"/>
                </w:rPr>
              </m:ctrlPr>
            </m:sSubPr>
            <m:e>
              <m:r>
                <m:rPr/>
                <w:rPr>
                  <w:rFonts w:ascii="Cambria Math" w:hAnsi="Cambria Math"/>
                  <w:sz w:val="24"/>
                </w:rPr>
                <m:t>c</m:t>
              </m:r>
            </m:e>
            <m:sub>
              <m:r>
                <m:rPr/>
                <w:rPr>
                  <w:rFonts w:ascii="Cambria Math" w:hAnsi="Cambria Math"/>
                  <w:sz w:val="24"/>
                </w:rPr>
                <m:t>p</m:t>
              </m:r>
            </m:sub>
          </m:sSub>
          <m:r>
            <m:rPr>
              <m:sty m:val="p"/>
            </m:rPr>
            <w:rPr>
              <w:rFonts w:ascii="Cambria Math" w:hAnsi="Cambria Math"/>
              <w:sz w:val="24"/>
            </w:rPr>
            <m:t>]=</m:t>
          </m:r>
          <m:r>
            <m:rPr/>
            <w:rPr>
              <w:rFonts w:ascii="Cambria Math" w:hAnsi="Cambria Math"/>
              <w:sz w:val="24"/>
            </w:rPr>
            <m:t>J</m:t>
          </m:r>
          <m:r>
            <m:rPr>
              <m:sty m:val="p"/>
            </m:rPr>
            <w:rPr>
              <w:rFonts w:ascii="Cambria Math" w:hAnsi="Cambria Math"/>
              <w:sz w:val="24"/>
            </w:rPr>
            <m:t>/</m:t>
          </m:r>
          <m:r>
            <m:rPr/>
            <w:rPr>
              <w:rFonts w:ascii="Cambria Math" w:hAnsi="Cambria Math"/>
              <w:sz w:val="24"/>
            </w:rPr>
            <m:t>gK</m:t>
          </m:r>
          <m:r>
            <m:rPr>
              <m:sty m:val="p"/>
            </m:rPr>
            <w:rPr>
              <w:rFonts w:ascii="Cambria Math" w:hAnsi="Cambria Math"/>
              <w:sz w:val="24"/>
            </w:rPr>
            <m:t>;</m:t>
          </m:r>
          <m:r>
            <m:rPr/>
            <w:rPr>
              <w:rFonts w:ascii="Cambria Math" w:hAnsi="Cambria Math"/>
              <w:sz w:val="24"/>
            </w:rPr>
            <m:t> </m:t>
          </m:r>
          <m:r>
            <m:rPr>
              <m:sty m:val="p"/>
            </m:rPr>
            <w:rPr>
              <w:rFonts w:ascii="Cambria Math" w:hAnsi="Cambria Math"/>
              <w:sz w:val="24"/>
            </w:rPr>
            <m:t>[</m:t>
          </m:r>
          <m:r>
            <m:rPr/>
            <w:rPr>
              <w:rFonts w:ascii="Cambria Math" w:hAnsi="Cambria Math"/>
              <w:sz w:val="24"/>
            </w:rPr>
            <m:t>T</m:t>
          </m:r>
          <m:r>
            <m:rPr>
              <m:sty m:val="p"/>
            </m:rPr>
            <w:rPr>
              <w:rFonts w:ascii="Cambria Math" w:hAnsi="Cambria Math"/>
              <w:sz w:val="24"/>
            </w:rPr>
            <m:t>]=</m:t>
          </m:r>
          <m:r>
            <m:rPr/>
            <w:rPr>
              <w:rFonts w:ascii="Cambria Math" w:hAnsi="Cambria Math"/>
              <w:sz w:val="24"/>
            </w:rPr>
            <m:t>K</m:t>
          </m:r>
        </m:oMath>
      </m:oMathPara>
    </w:p>
    <w:p w14:paraId="36AFFFA5">
      <w:pPr>
        <w:adjustRightInd w:val="0"/>
        <w:spacing w:before="100" w:line="300" w:lineRule="auto"/>
        <w:rPr>
          <w:color w:val="auto"/>
          <w:sz w:val="24"/>
          <w:highlight w:val="none"/>
        </w:rPr>
      </w:pPr>
    </w:p>
    <w:p w14:paraId="25DFE339">
      <w:pPr>
        <w:widowControl/>
        <w:adjustRightInd w:val="0"/>
        <w:snapToGrid w:val="0"/>
        <w:spacing w:line="360" w:lineRule="auto"/>
        <w:rPr>
          <w:iCs/>
          <w:color w:val="auto"/>
          <w:kern w:val="0"/>
          <w:sz w:val="24"/>
          <w:highlight w:val="none"/>
        </w:rPr>
      </w:pPr>
      <w:r>
        <w:rPr>
          <w:iCs/>
          <w:color w:val="auto"/>
          <w:kern w:val="0"/>
          <w:sz w:val="24"/>
          <w:highlight w:val="none"/>
        </w:rPr>
        <w:t>主要热容数值计算如下：</w:t>
      </w:r>
    </w:p>
    <w:tbl>
      <w:tblPr>
        <w:tblStyle w:val="3"/>
        <w:tblW w:w="4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560"/>
        <w:gridCol w:w="1701"/>
      </w:tblGrid>
      <w:tr w14:paraId="6734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7E0C82E4">
            <w:pPr>
              <w:widowControl/>
              <w:rPr>
                <w:rFonts w:eastAsia="等线"/>
                <w:color w:val="auto"/>
                <w:kern w:val="0"/>
                <w:sz w:val="22"/>
                <w:szCs w:val="22"/>
                <w:highlight w:val="none"/>
              </w:rPr>
            </w:pPr>
            <w:r>
              <w:rPr>
                <w:rFonts w:eastAsia="等线"/>
                <w:color w:val="auto"/>
                <w:kern w:val="0"/>
                <w:sz w:val="22"/>
                <w:szCs w:val="22"/>
                <w:highlight w:val="none"/>
              </w:rPr>
              <w:t>温度</w:t>
            </w:r>
          </w:p>
        </w:tc>
        <w:tc>
          <w:tcPr>
            <w:tcW w:w="1560" w:type="dxa"/>
            <w:noWrap/>
            <w:vAlign w:val="center"/>
          </w:tcPr>
          <w:p w14:paraId="26656C77">
            <w:pPr>
              <w:widowControl/>
              <w:rPr>
                <w:rFonts w:eastAsia="等线"/>
                <w:color w:val="auto"/>
                <w:kern w:val="0"/>
                <w:sz w:val="22"/>
                <w:szCs w:val="22"/>
                <w:highlight w:val="none"/>
              </w:rPr>
            </w:pPr>
            <w:r>
              <w:rPr>
                <w:rFonts w:eastAsia="等线"/>
                <w:color w:val="auto"/>
                <w:kern w:val="0"/>
                <w:sz w:val="22"/>
                <w:szCs w:val="22"/>
                <w:highlight w:val="none"/>
              </w:rPr>
              <w:t xml:space="preserve">比热 </w:t>
            </w:r>
            <w:r>
              <w:rPr>
                <w:rFonts w:eastAsia="等线"/>
                <w:color w:val="auto"/>
                <w:kern w:val="0"/>
                <w:sz w:val="22"/>
                <w:szCs w:val="22"/>
                <w:highlight w:val="none"/>
              </w:rPr>
              <w:fldChar w:fldCharType="begin"/>
            </w:r>
            <w:r>
              <w:rPr>
                <w:rFonts w:eastAsia="等线"/>
                <w:color w:val="auto"/>
                <w:kern w:val="0"/>
                <w:sz w:val="22"/>
                <w:szCs w:val="22"/>
                <w:highlight w:val="none"/>
              </w:rPr>
              <w:instrText xml:space="preserve"> QUOTE </w:instrText>
            </w:r>
            <w:r>
              <w:rPr>
                <w:color w:val="auto"/>
                <w:position w:val="-5"/>
                <w:highlight w:val="none"/>
              </w:rPr>
              <w:pict>
                <v:shape id="_x0000_i1040" o:spt="75" type="#_x0000_t75" style="height:12.7pt;width:42.3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533&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BA2533&quot; wsp:rsidP=&quot;00BA2533&quot;&gt;&lt;m:oMathPara&gt;&lt;m:oMath&gt;&lt;m:f&gt;&lt;m:fPr&gt;&lt;m:type m:val=&quot;lin&quot;/&gt;&lt;m:ctrlPr&gt;&lt;w:rPr&gt;&lt;w:rFonts w:ascii=&quot;Cambria Math&quot; w:fareast=&quot;等线&quot; w:h-ansi=&quot;Cambria Math&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gt;&lt;wx:font wx:val=&quot;Cambria Math&quot;/&gt;&lt;w:i/&gt;&lt;w:color w:val=&quot;000000&quot;/&gt;&lt;w:kern w:val=&quot;0&quot;/&gt;&lt;w:sz w:val=&quot;22&quot;/&gt;&lt;w:sz-cs w:val=&quot;22&quot;/&gt;&lt;/w:rPr&gt;&lt;/m:ctrlPr&gt;&lt;/m:dPr&gt;&lt;m:e&gt;&lt;m:r&gt;&lt;w:rPr&gt;&lt;w:rFonts w:ascii=&quot;Cambria Math&quot; w:fareast=&quot;等线&quot; w:h-ansi=&quot;Cambria Math&quot;/&gt;&lt;wx:font wx:val=&quot;Cambria Math&quot;/&gt;&lt;w:i/&gt;&lt;w:color w:val=&quot;000000&quot;/&gt;&lt;w:kern w:val=&quot;0&quot;/&gt;&lt;w:sz w:val=&quot;22&quot;/&gt;&lt;w:sz-cs w:val=&quot;22&quot;/&gt;&lt;/w:rPr&gt;&lt;m:t&gt;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1" chromakey="#FFFFFF" o:title=""/>
                  <o:lock v:ext="edit" aspectratio="t"/>
                  <w10:wrap type="none"/>
                  <w10:anchorlock/>
                </v:shape>
              </w:pict>
            </w:r>
            <w:r>
              <w:rPr>
                <w:rFonts w:eastAsia="等线"/>
                <w:color w:val="auto"/>
                <w:kern w:val="0"/>
                <w:sz w:val="22"/>
                <w:szCs w:val="22"/>
                <w:highlight w:val="none"/>
              </w:rPr>
              <w:instrText xml:space="preserve"> </w:instrText>
            </w:r>
            <w:r>
              <w:rPr>
                <w:rFonts w:eastAsia="等线"/>
                <w:color w:val="auto"/>
                <w:kern w:val="0"/>
                <w:sz w:val="22"/>
                <w:szCs w:val="22"/>
                <w:highlight w:val="none"/>
              </w:rPr>
              <w:fldChar w:fldCharType="separate"/>
            </w:r>
            <w:r>
              <w:rPr>
                <w:color w:val="auto"/>
                <w:position w:val="-5"/>
                <w:highlight w:val="none"/>
              </w:rPr>
              <w:pict>
                <v:shape id="_x0000_i1041" o:spt="75" type="#_x0000_t75" style="height:12.7pt;width:42.3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533&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BA2533&quot; wsp:rsidP=&quot;00BA2533&quot;&gt;&lt;m:oMathPara&gt;&lt;m:oMath&gt;&lt;m:f&gt;&lt;m:fPr&gt;&lt;m:type m:val=&quot;lin&quot;/&gt;&lt;m:ctrlPr&gt;&lt;w:rPr&gt;&lt;w:rFonts w:ascii=&quot;Cambria Math&quot; w:fareast=&quot;等线&quot; w:h-ansi=&quot;Cambria Math&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gt;&lt;wx:font wx:val=&quot;Cambria Math&quot;/&gt;&lt;w:i/&gt;&lt;w:color w:val=&quot;000000&quot;/&gt;&lt;w:kern w:val=&quot;0&quot;/&gt;&lt;w:sz w:val=&quot;22&quot;/&gt;&lt;w:sz-cs w:val=&quot;22&quot;/&gt;&lt;/w:rPr&gt;&lt;/m:ctrlPr&gt;&lt;/m:dPr&gt;&lt;m:e&gt;&lt;m:r&gt;&lt;w:rPr&gt;&lt;w:rFonts w:ascii=&quot;Cambria Math&quot; w:fareast=&quot;等线&quot; w:h-ansi=&quot;Cambria Math&quot;/&gt;&lt;wx:font wx:val=&quot;Cambria Math&quot;/&gt;&lt;w:i/&gt;&lt;w:color w:val=&quot;000000&quot;/&gt;&lt;w:kern w:val=&quot;0&quot;/&gt;&lt;w:sz w:val=&quot;22&quot;/&gt;&lt;w:sz-cs w:val=&quot;22&quot;/&gt;&lt;/w:rPr&gt;&lt;m:t&gt;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1" chromakey="#FFFFFF" o:title=""/>
                  <o:lock v:ext="edit" aspectratio="t"/>
                  <w10:wrap type="none"/>
                  <w10:anchorlock/>
                </v:shape>
              </w:pict>
            </w:r>
            <w:r>
              <w:rPr>
                <w:rFonts w:eastAsia="等线"/>
                <w:color w:val="auto"/>
                <w:kern w:val="0"/>
                <w:sz w:val="22"/>
                <w:szCs w:val="22"/>
                <w:highlight w:val="none"/>
              </w:rPr>
              <w:fldChar w:fldCharType="end"/>
            </w:r>
          </w:p>
        </w:tc>
        <w:tc>
          <w:tcPr>
            <w:tcW w:w="1701" w:type="dxa"/>
            <w:noWrap/>
            <w:vAlign w:val="center"/>
          </w:tcPr>
          <w:p w14:paraId="654F8674">
            <w:pPr>
              <w:widowControl/>
              <w:rPr>
                <w:rFonts w:eastAsia="等线"/>
                <w:color w:val="auto"/>
                <w:kern w:val="0"/>
                <w:sz w:val="22"/>
                <w:szCs w:val="22"/>
                <w:highlight w:val="none"/>
              </w:rPr>
            </w:pPr>
            <w:r>
              <w:rPr>
                <w:rFonts w:eastAsia="等线"/>
                <w:color w:val="auto"/>
                <w:kern w:val="0"/>
                <w:sz w:val="22"/>
                <w:szCs w:val="22"/>
                <w:highlight w:val="none"/>
              </w:rPr>
              <w:t xml:space="preserve">比热 </w:t>
            </w:r>
            <w:r>
              <w:rPr>
                <w:rFonts w:eastAsia="等线"/>
                <w:color w:val="auto"/>
                <w:kern w:val="0"/>
                <w:sz w:val="22"/>
                <w:szCs w:val="22"/>
                <w:highlight w:val="none"/>
              </w:rPr>
              <w:fldChar w:fldCharType="begin"/>
            </w:r>
            <w:r>
              <w:rPr>
                <w:rFonts w:eastAsia="等线"/>
                <w:color w:val="auto"/>
                <w:kern w:val="0"/>
                <w:sz w:val="22"/>
                <w:szCs w:val="22"/>
                <w:highlight w:val="none"/>
              </w:rPr>
              <w:instrText xml:space="preserve"> QUOTE </w:instrText>
            </w:r>
            <w:r>
              <w:rPr>
                <w:color w:val="auto"/>
                <w:position w:val="-5"/>
                <w:highlight w:val="none"/>
              </w:rPr>
              <w:pict>
                <v:shape id="_x0000_i1042" o:spt="75" type="#_x0000_t75" style="height:12.7pt;width:4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6EF&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CC06EF&quot; wsp:rsidP=&quot;00CC06EF&quot;&gt;&lt;m:oMathPara&gt;&lt;m:oMath&gt;&lt;m:f&gt;&lt;m:fPr&gt;&lt;m:type m:val=&quot;lin&quot;/&gt;&lt;m:ctrlPr&gt;&lt;w:rPr&gt;&lt;w:rFonts w:ascii=&quot;Cambria Math&quot; w:fareast=&quot;等线&quot; w:h-ansi=&quot;Cambria Math&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gt;&lt;wx:font wx:val=&quot;Cambria Math&quot;/&gt;&lt;w:i/&gt;&lt;w:color w:val=&quot;000000&quot;/&gt;&lt;w:kern w:val=&quot;0&quot;/&gt;&lt;w:sz w:val=&quot;22&quot;/&gt;&lt;w:sz-cs w:val=&quot;22&quot;/&gt;&lt;/w:rPr&gt;&lt;/m:ctrlPr&gt;&lt;/m:dPr&gt;&lt;m:e&gt;&lt;m:r&gt;&lt;w:rPr&gt;&lt;w:rFonts w:ascii=&quot;Cambria Math&quot; w:fareast=&quot;等线&quot; w:h-ansi=&quot;Cambria Math&quot;/&gt;&lt;wx:font wx:val=&quot;Cambria Math&quot;/&gt;&lt;w:i/&gt;&lt;w:color w:val=&quot;000000&quot;/&gt;&lt;w:kern w:val=&quot;0&quot;/&gt;&lt;w:sz w:val=&quot;22&quot;/&gt;&lt;w:sz-cs w:val=&quot;22&quot;/&gt;&lt;/w:rPr&gt;&lt;m:t&gt;k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2" chromakey="#FFFFFF" o:title=""/>
                  <o:lock v:ext="edit" aspectratio="t"/>
                  <w10:wrap type="none"/>
                  <w10:anchorlock/>
                </v:shape>
              </w:pict>
            </w:r>
            <w:r>
              <w:rPr>
                <w:rFonts w:eastAsia="等线"/>
                <w:color w:val="auto"/>
                <w:kern w:val="0"/>
                <w:sz w:val="22"/>
                <w:szCs w:val="22"/>
                <w:highlight w:val="none"/>
              </w:rPr>
              <w:instrText xml:space="preserve"> </w:instrText>
            </w:r>
            <w:r>
              <w:rPr>
                <w:rFonts w:eastAsia="等线"/>
                <w:color w:val="auto"/>
                <w:kern w:val="0"/>
                <w:sz w:val="22"/>
                <w:szCs w:val="22"/>
                <w:highlight w:val="none"/>
              </w:rPr>
              <w:fldChar w:fldCharType="separate"/>
            </w:r>
            <w:r>
              <w:rPr>
                <w:color w:val="auto"/>
                <w:position w:val="-5"/>
                <w:highlight w:val="none"/>
              </w:rPr>
              <w:pict>
                <v:shape id="_x0000_i1043" o:spt="75" type="#_x0000_t75" style="height:12.7pt;width:48.4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6EF&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CC06EF&quot; wsp:rsidP=&quot;00CC06EF&quot;&gt;&lt;m:oMathPara&gt;&lt;m:oMath&gt;&lt;m:f&gt;&lt;m:fPr&gt;&lt;m:type m:val=&quot;lin&quot;/&gt;&lt;m:ctrlPr&gt;&lt;w:rPr&gt;&lt;w:rFonts w:ascii=&quot;Cambria Math&quot; w:fareast=&quot;等线&quot; w:h-ansi=&quot;Cambria Math&quot;/&gt;&lt;wx:font wx:val=&quot;Cambria Math&quot;/&gt;&lt;w:i/&gt;&lt;w:color w:val=&quot;000000&quot;/&gt;&lt;w:kern w:val=&quot;0&quot;/&gt;&lt;w:sz w:val=&quot;22&quot;/&gt;&lt;w:sz-cs w:val=&quot;22&quot;/&gt;&lt;/w:rPr&gt;&lt;/m:ctrlPr&gt;&lt;/m:fPr&gt;&lt;m:num&gt;&lt;m:r&gt;&lt;w:rPr&gt;&lt;w:rFonts w:ascii=&quot;Cambria Math&quot; w:fareast=&quot;等线&quot; w:h-ansi=&quot;Cambria Math&quot;/&gt;&lt;wx:font wx:val=&quot;Cambria Math&quot;/&gt;&lt;w:i/&gt;&lt;w:color w:val=&quot;000000&quot;/&gt;&lt;w:kern w:val=&quot;0&quot;/&gt;&lt;w:sz w:val=&quot;22&quot;/&gt;&lt;w:sz-cs w:val=&quot;22&quot;/&gt;&lt;/w:rPr&gt;&lt;m:t&gt;J&lt;/m:t&gt;&lt;/m:r&gt;&lt;/m:num&gt;&lt;m:den&gt;&lt;m:d&gt;&lt;m:dPr&gt;&lt;m:ctrlPr&gt;&lt;w:rPr&gt;&lt;w:rFonts w:ascii=&quot;Cambria Math&quot; w:fareast=&quot;等线&quot; w:h-ansi=&quot;Cambria Math&quot;/&gt;&lt;wx:font wx:val=&quot;Cambria Math&quot;/&gt;&lt;w:i/&gt;&lt;w:color w:val=&quot;000000&quot;/&gt;&lt;w:kern w:val=&quot;0&quot;/&gt;&lt;w:sz w:val=&quot;22&quot;/&gt;&lt;w:sz-cs w:val=&quot;22&quot;/&gt;&lt;/w:rPr&gt;&lt;/m:ctrlPr&gt;&lt;/m:dPr&gt;&lt;m:e&gt;&lt;m:r&gt;&lt;w:rPr&gt;&lt;w:rFonts w:ascii=&quot;Cambria Math&quot; w:fareast=&quot;等线&quot; w:h-ansi=&quot;Cambria Math&quot;/&gt;&lt;wx:font wx:val=&quot;Cambria Math&quot;/&gt;&lt;w:i/&gt;&lt;w:color w:val=&quot;000000&quot;/&gt;&lt;w:kern w:val=&quot;0&quot;/&gt;&lt;w:sz w:val=&quot;22&quot;/&gt;&lt;w:sz-cs w:val=&quot;22&quot;/&gt;&lt;/w:rPr&gt;&lt;m:t&gt;kg⋅K&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2" chromakey="#FFFFFF" o:title=""/>
                  <o:lock v:ext="edit" aspectratio="t"/>
                  <w10:wrap type="none"/>
                  <w10:anchorlock/>
                </v:shape>
              </w:pict>
            </w:r>
            <w:r>
              <w:rPr>
                <w:rFonts w:eastAsia="等线"/>
                <w:color w:val="auto"/>
                <w:kern w:val="0"/>
                <w:sz w:val="22"/>
                <w:szCs w:val="22"/>
                <w:highlight w:val="none"/>
              </w:rPr>
              <w:fldChar w:fldCharType="end"/>
            </w:r>
          </w:p>
        </w:tc>
      </w:tr>
      <w:tr w14:paraId="01DD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39949614">
            <w:pPr>
              <w:widowControl/>
              <w:rPr>
                <w:rFonts w:eastAsia="等线"/>
                <w:color w:val="auto"/>
                <w:kern w:val="0"/>
                <w:sz w:val="22"/>
                <w:szCs w:val="22"/>
                <w:highlight w:val="none"/>
              </w:rPr>
            </w:pPr>
            <w:r>
              <w:rPr>
                <w:rFonts w:eastAsia="等线"/>
                <w:color w:val="auto"/>
                <w:kern w:val="0"/>
                <w:sz w:val="22"/>
                <w:szCs w:val="22"/>
                <w:highlight w:val="none"/>
              </w:rPr>
              <w:t>234.85</w:t>
            </w:r>
          </w:p>
        </w:tc>
        <w:tc>
          <w:tcPr>
            <w:tcW w:w="1560" w:type="dxa"/>
            <w:noWrap/>
            <w:vAlign w:val="center"/>
          </w:tcPr>
          <w:p w14:paraId="1919CD75">
            <w:pPr>
              <w:widowControl/>
              <w:rPr>
                <w:rFonts w:eastAsia="等线"/>
                <w:color w:val="auto"/>
                <w:kern w:val="0"/>
                <w:sz w:val="22"/>
                <w:szCs w:val="22"/>
                <w:highlight w:val="none"/>
              </w:rPr>
            </w:pPr>
            <w:r>
              <w:rPr>
                <w:rFonts w:eastAsia="等线"/>
                <w:color w:val="auto"/>
                <w:kern w:val="0"/>
                <w:sz w:val="22"/>
                <w:szCs w:val="22"/>
                <w:highlight w:val="none"/>
              </w:rPr>
              <w:t>0.190369072</w:t>
            </w:r>
          </w:p>
        </w:tc>
        <w:tc>
          <w:tcPr>
            <w:tcW w:w="1701" w:type="dxa"/>
            <w:noWrap/>
            <w:vAlign w:val="center"/>
          </w:tcPr>
          <w:p w14:paraId="39B8A3A6">
            <w:pPr>
              <w:widowControl/>
              <w:rPr>
                <w:rFonts w:eastAsia="等线"/>
                <w:color w:val="auto"/>
                <w:kern w:val="0"/>
                <w:sz w:val="22"/>
                <w:szCs w:val="22"/>
                <w:highlight w:val="none"/>
              </w:rPr>
            </w:pPr>
            <w:r>
              <w:rPr>
                <w:rFonts w:eastAsia="等线"/>
                <w:color w:val="auto"/>
                <w:kern w:val="0"/>
                <w:sz w:val="22"/>
                <w:szCs w:val="22"/>
                <w:highlight w:val="none"/>
              </w:rPr>
              <w:t>190.369072</w:t>
            </w:r>
          </w:p>
        </w:tc>
      </w:tr>
      <w:tr w14:paraId="604F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0A8BDB60">
            <w:pPr>
              <w:widowControl/>
              <w:rPr>
                <w:rFonts w:eastAsia="等线"/>
                <w:color w:val="auto"/>
                <w:kern w:val="0"/>
                <w:sz w:val="22"/>
                <w:szCs w:val="22"/>
                <w:highlight w:val="none"/>
              </w:rPr>
            </w:pPr>
            <w:r>
              <w:rPr>
                <w:rFonts w:eastAsia="等线"/>
                <w:color w:val="auto"/>
                <w:kern w:val="0"/>
                <w:sz w:val="22"/>
                <w:szCs w:val="22"/>
                <w:highlight w:val="none"/>
              </w:rPr>
              <w:t>260</w:t>
            </w:r>
          </w:p>
        </w:tc>
        <w:tc>
          <w:tcPr>
            <w:tcW w:w="1560" w:type="dxa"/>
            <w:noWrap/>
            <w:vAlign w:val="center"/>
          </w:tcPr>
          <w:p w14:paraId="22DABF9C">
            <w:pPr>
              <w:widowControl/>
              <w:rPr>
                <w:rFonts w:eastAsia="等线"/>
                <w:color w:val="auto"/>
                <w:kern w:val="0"/>
                <w:sz w:val="22"/>
                <w:szCs w:val="22"/>
                <w:highlight w:val="none"/>
              </w:rPr>
            </w:pPr>
            <w:r>
              <w:rPr>
                <w:rFonts w:eastAsia="等线"/>
                <w:color w:val="auto"/>
                <w:kern w:val="0"/>
                <w:sz w:val="22"/>
                <w:szCs w:val="22"/>
                <w:highlight w:val="none"/>
              </w:rPr>
              <w:t>0.190139805</w:t>
            </w:r>
          </w:p>
        </w:tc>
        <w:tc>
          <w:tcPr>
            <w:tcW w:w="1701" w:type="dxa"/>
            <w:noWrap/>
            <w:vAlign w:val="center"/>
          </w:tcPr>
          <w:p w14:paraId="6E972C4D">
            <w:pPr>
              <w:widowControl/>
              <w:rPr>
                <w:rFonts w:eastAsia="等线"/>
                <w:color w:val="auto"/>
                <w:kern w:val="0"/>
                <w:sz w:val="22"/>
                <w:szCs w:val="22"/>
                <w:highlight w:val="none"/>
              </w:rPr>
            </w:pPr>
            <w:r>
              <w:rPr>
                <w:rFonts w:eastAsia="等线"/>
                <w:color w:val="auto"/>
                <w:kern w:val="0"/>
                <w:sz w:val="22"/>
                <w:szCs w:val="22"/>
                <w:highlight w:val="none"/>
              </w:rPr>
              <w:t>190.1398046</w:t>
            </w:r>
          </w:p>
        </w:tc>
      </w:tr>
      <w:tr w14:paraId="2304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1E52F64D">
            <w:pPr>
              <w:widowControl/>
              <w:rPr>
                <w:rFonts w:eastAsia="等线"/>
                <w:color w:val="auto"/>
                <w:kern w:val="0"/>
                <w:sz w:val="22"/>
                <w:szCs w:val="22"/>
                <w:highlight w:val="none"/>
              </w:rPr>
            </w:pPr>
            <w:r>
              <w:rPr>
                <w:rFonts w:eastAsia="等线"/>
                <w:color w:val="auto"/>
                <w:kern w:val="0"/>
                <w:sz w:val="22"/>
                <w:szCs w:val="22"/>
                <w:highlight w:val="none"/>
              </w:rPr>
              <w:t>280</w:t>
            </w:r>
          </w:p>
        </w:tc>
        <w:tc>
          <w:tcPr>
            <w:tcW w:w="1560" w:type="dxa"/>
            <w:noWrap/>
            <w:vAlign w:val="center"/>
          </w:tcPr>
          <w:p w14:paraId="4E73839A">
            <w:pPr>
              <w:widowControl/>
              <w:rPr>
                <w:rFonts w:eastAsia="等线"/>
                <w:color w:val="auto"/>
                <w:kern w:val="0"/>
                <w:sz w:val="22"/>
                <w:szCs w:val="22"/>
                <w:highlight w:val="none"/>
              </w:rPr>
            </w:pPr>
            <w:r>
              <w:rPr>
                <w:rFonts w:eastAsia="等线"/>
                <w:color w:val="auto"/>
                <w:kern w:val="0"/>
                <w:sz w:val="22"/>
                <w:szCs w:val="22"/>
                <w:highlight w:val="none"/>
              </w:rPr>
              <w:t>0.189957485</w:t>
            </w:r>
          </w:p>
        </w:tc>
        <w:tc>
          <w:tcPr>
            <w:tcW w:w="1701" w:type="dxa"/>
            <w:noWrap/>
            <w:vAlign w:val="center"/>
          </w:tcPr>
          <w:p w14:paraId="0275DA9D">
            <w:pPr>
              <w:widowControl/>
              <w:rPr>
                <w:rFonts w:eastAsia="等线"/>
                <w:color w:val="auto"/>
                <w:kern w:val="0"/>
                <w:sz w:val="22"/>
                <w:szCs w:val="22"/>
                <w:highlight w:val="none"/>
              </w:rPr>
            </w:pPr>
            <w:r>
              <w:rPr>
                <w:rFonts w:eastAsia="等线"/>
                <w:color w:val="auto"/>
                <w:kern w:val="0"/>
                <w:sz w:val="22"/>
                <w:szCs w:val="22"/>
                <w:highlight w:val="none"/>
              </w:rPr>
              <w:t>189.9574846</w:t>
            </w:r>
          </w:p>
        </w:tc>
      </w:tr>
      <w:tr w14:paraId="0E53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3177216B">
            <w:pPr>
              <w:widowControl/>
              <w:rPr>
                <w:rFonts w:eastAsia="等线"/>
                <w:color w:val="auto"/>
                <w:kern w:val="0"/>
                <w:sz w:val="22"/>
                <w:szCs w:val="22"/>
                <w:highlight w:val="none"/>
              </w:rPr>
            </w:pPr>
            <w:r>
              <w:rPr>
                <w:rFonts w:eastAsia="等线"/>
                <w:color w:val="auto"/>
                <w:kern w:val="0"/>
                <w:sz w:val="22"/>
                <w:szCs w:val="22"/>
                <w:highlight w:val="none"/>
              </w:rPr>
              <w:t>300</w:t>
            </w:r>
          </w:p>
        </w:tc>
        <w:tc>
          <w:tcPr>
            <w:tcW w:w="1560" w:type="dxa"/>
            <w:noWrap/>
            <w:vAlign w:val="center"/>
          </w:tcPr>
          <w:p w14:paraId="45C3BACE">
            <w:pPr>
              <w:widowControl/>
              <w:rPr>
                <w:rFonts w:eastAsia="等线"/>
                <w:color w:val="auto"/>
                <w:kern w:val="0"/>
                <w:sz w:val="22"/>
                <w:szCs w:val="22"/>
                <w:highlight w:val="none"/>
              </w:rPr>
            </w:pPr>
            <w:r>
              <w:rPr>
                <w:rFonts w:eastAsia="等线"/>
                <w:color w:val="auto"/>
                <w:kern w:val="0"/>
                <w:sz w:val="22"/>
                <w:szCs w:val="22"/>
                <w:highlight w:val="none"/>
              </w:rPr>
              <w:t>0.189775165</w:t>
            </w:r>
          </w:p>
        </w:tc>
        <w:tc>
          <w:tcPr>
            <w:tcW w:w="1701" w:type="dxa"/>
            <w:noWrap/>
            <w:vAlign w:val="center"/>
          </w:tcPr>
          <w:p w14:paraId="59EBBE40">
            <w:pPr>
              <w:widowControl/>
              <w:rPr>
                <w:rFonts w:eastAsia="等线"/>
                <w:color w:val="auto"/>
                <w:kern w:val="0"/>
                <w:sz w:val="22"/>
                <w:szCs w:val="22"/>
                <w:highlight w:val="none"/>
              </w:rPr>
            </w:pPr>
            <w:r>
              <w:rPr>
                <w:rFonts w:eastAsia="等线"/>
                <w:color w:val="auto"/>
                <w:kern w:val="0"/>
                <w:sz w:val="22"/>
                <w:szCs w:val="22"/>
                <w:highlight w:val="none"/>
              </w:rPr>
              <w:t>189.7751646</w:t>
            </w:r>
          </w:p>
        </w:tc>
      </w:tr>
      <w:tr w14:paraId="5293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7D7BEA6F">
            <w:pPr>
              <w:widowControl/>
              <w:rPr>
                <w:rFonts w:eastAsia="等线"/>
                <w:color w:val="auto"/>
                <w:kern w:val="0"/>
                <w:sz w:val="22"/>
                <w:szCs w:val="22"/>
                <w:highlight w:val="none"/>
              </w:rPr>
            </w:pPr>
            <w:r>
              <w:rPr>
                <w:rFonts w:eastAsia="等线"/>
                <w:color w:val="auto"/>
                <w:kern w:val="0"/>
                <w:sz w:val="22"/>
                <w:szCs w:val="22"/>
                <w:highlight w:val="none"/>
              </w:rPr>
              <w:t>450</w:t>
            </w:r>
          </w:p>
        </w:tc>
        <w:tc>
          <w:tcPr>
            <w:tcW w:w="1560" w:type="dxa"/>
            <w:noWrap/>
            <w:vAlign w:val="center"/>
          </w:tcPr>
          <w:p w14:paraId="14A98034">
            <w:pPr>
              <w:widowControl/>
              <w:rPr>
                <w:rFonts w:eastAsia="等线"/>
                <w:color w:val="auto"/>
                <w:kern w:val="0"/>
                <w:sz w:val="22"/>
                <w:szCs w:val="22"/>
                <w:highlight w:val="none"/>
              </w:rPr>
            </w:pPr>
            <w:r>
              <w:rPr>
                <w:rFonts w:eastAsia="等线"/>
                <w:color w:val="auto"/>
                <w:kern w:val="0"/>
                <w:sz w:val="22"/>
                <w:szCs w:val="22"/>
                <w:highlight w:val="none"/>
              </w:rPr>
              <w:t>0.188407765</w:t>
            </w:r>
          </w:p>
        </w:tc>
        <w:tc>
          <w:tcPr>
            <w:tcW w:w="1701" w:type="dxa"/>
            <w:noWrap/>
            <w:vAlign w:val="center"/>
          </w:tcPr>
          <w:p w14:paraId="471FE99D">
            <w:pPr>
              <w:widowControl/>
              <w:rPr>
                <w:rFonts w:eastAsia="等线"/>
                <w:color w:val="auto"/>
                <w:kern w:val="0"/>
                <w:sz w:val="22"/>
                <w:szCs w:val="22"/>
                <w:highlight w:val="none"/>
              </w:rPr>
            </w:pPr>
            <w:r>
              <w:rPr>
                <w:rFonts w:eastAsia="等线"/>
                <w:color w:val="auto"/>
                <w:kern w:val="0"/>
                <w:sz w:val="22"/>
                <w:szCs w:val="22"/>
                <w:highlight w:val="none"/>
              </w:rPr>
              <w:t>188.4077646</w:t>
            </w:r>
          </w:p>
        </w:tc>
      </w:tr>
      <w:tr w14:paraId="07D4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71F94F3B">
            <w:pPr>
              <w:widowControl/>
              <w:rPr>
                <w:rFonts w:eastAsia="等线"/>
                <w:color w:val="auto"/>
                <w:kern w:val="0"/>
                <w:sz w:val="22"/>
                <w:szCs w:val="22"/>
                <w:highlight w:val="none"/>
              </w:rPr>
            </w:pPr>
            <w:r>
              <w:rPr>
                <w:rFonts w:eastAsia="等线"/>
                <w:color w:val="auto"/>
                <w:kern w:val="0"/>
                <w:sz w:val="22"/>
                <w:szCs w:val="22"/>
                <w:highlight w:val="none"/>
              </w:rPr>
              <w:t>480</w:t>
            </w:r>
          </w:p>
        </w:tc>
        <w:tc>
          <w:tcPr>
            <w:tcW w:w="1560" w:type="dxa"/>
            <w:noWrap/>
            <w:vAlign w:val="center"/>
          </w:tcPr>
          <w:p w14:paraId="22BC0385">
            <w:pPr>
              <w:widowControl/>
              <w:rPr>
                <w:rFonts w:eastAsia="等线"/>
                <w:color w:val="auto"/>
                <w:kern w:val="0"/>
                <w:sz w:val="22"/>
                <w:szCs w:val="22"/>
                <w:highlight w:val="none"/>
              </w:rPr>
            </w:pPr>
            <w:r>
              <w:rPr>
                <w:rFonts w:eastAsia="等线"/>
                <w:color w:val="auto"/>
                <w:kern w:val="0"/>
                <w:sz w:val="22"/>
                <w:szCs w:val="22"/>
                <w:highlight w:val="none"/>
              </w:rPr>
              <w:t>0.188134285</w:t>
            </w:r>
          </w:p>
        </w:tc>
        <w:tc>
          <w:tcPr>
            <w:tcW w:w="1701" w:type="dxa"/>
            <w:noWrap/>
            <w:vAlign w:val="center"/>
          </w:tcPr>
          <w:p w14:paraId="23E670F1">
            <w:pPr>
              <w:widowControl/>
              <w:rPr>
                <w:rFonts w:eastAsia="等线"/>
                <w:color w:val="auto"/>
                <w:kern w:val="0"/>
                <w:sz w:val="22"/>
                <w:szCs w:val="22"/>
                <w:highlight w:val="none"/>
              </w:rPr>
            </w:pPr>
            <w:r>
              <w:rPr>
                <w:rFonts w:eastAsia="等线"/>
                <w:color w:val="auto"/>
                <w:kern w:val="0"/>
                <w:sz w:val="22"/>
                <w:szCs w:val="22"/>
                <w:highlight w:val="none"/>
              </w:rPr>
              <w:t>188.1342846</w:t>
            </w:r>
          </w:p>
        </w:tc>
      </w:tr>
      <w:tr w14:paraId="63FE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70" w:type="dxa"/>
            <w:noWrap/>
            <w:vAlign w:val="center"/>
          </w:tcPr>
          <w:p w14:paraId="6B743ADA">
            <w:pPr>
              <w:widowControl/>
              <w:rPr>
                <w:rFonts w:eastAsia="等线"/>
                <w:color w:val="auto"/>
                <w:kern w:val="0"/>
                <w:sz w:val="22"/>
                <w:szCs w:val="22"/>
                <w:highlight w:val="none"/>
              </w:rPr>
            </w:pPr>
            <w:r>
              <w:rPr>
                <w:rFonts w:eastAsia="等线"/>
                <w:color w:val="auto"/>
                <w:kern w:val="0"/>
                <w:sz w:val="22"/>
                <w:szCs w:val="22"/>
                <w:highlight w:val="none"/>
              </w:rPr>
              <w:t>550</w:t>
            </w:r>
          </w:p>
        </w:tc>
        <w:tc>
          <w:tcPr>
            <w:tcW w:w="1560" w:type="dxa"/>
            <w:noWrap/>
            <w:vAlign w:val="center"/>
          </w:tcPr>
          <w:p w14:paraId="0E805A3C">
            <w:pPr>
              <w:widowControl/>
              <w:rPr>
                <w:rFonts w:eastAsia="等线"/>
                <w:color w:val="auto"/>
                <w:kern w:val="0"/>
                <w:sz w:val="22"/>
                <w:szCs w:val="22"/>
                <w:highlight w:val="none"/>
              </w:rPr>
            </w:pPr>
            <w:r>
              <w:rPr>
                <w:rFonts w:eastAsia="等线"/>
                <w:color w:val="auto"/>
                <w:kern w:val="0"/>
                <w:sz w:val="22"/>
                <w:szCs w:val="22"/>
                <w:highlight w:val="none"/>
              </w:rPr>
              <w:t>0.187496165</w:t>
            </w:r>
          </w:p>
        </w:tc>
        <w:tc>
          <w:tcPr>
            <w:tcW w:w="1701" w:type="dxa"/>
            <w:noWrap/>
            <w:vAlign w:val="center"/>
          </w:tcPr>
          <w:p w14:paraId="167BEA90">
            <w:pPr>
              <w:widowControl/>
              <w:rPr>
                <w:rFonts w:eastAsia="等线"/>
                <w:color w:val="auto"/>
                <w:kern w:val="0"/>
                <w:sz w:val="22"/>
                <w:szCs w:val="22"/>
                <w:highlight w:val="none"/>
              </w:rPr>
            </w:pPr>
            <w:r>
              <w:rPr>
                <w:rFonts w:eastAsia="等线"/>
                <w:color w:val="auto"/>
                <w:kern w:val="0"/>
                <w:sz w:val="22"/>
                <w:szCs w:val="22"/>
                <w:highlight w:val="none"/>
              </w:rPr>
              <w:t>187.4961646</w:t>
            </w:r>
          </w:p>
        </w:tc>
      </w:tr>
    </w:tbl>
    <w:p w14:paraId="3A96AA8B">
      <w:pPr>
        <w:widowControl/>
        <w:rPr>
          <w:color w:val="auto"/>
          <w:highlight w:val="none"/>
        </w:rPr>
      </w:pPr>
    </w:p>
    <w:p w14:paraId="7BDB1DC9">
      <w:pPr>
        <w:keepNext/>
        <w:keepLines/>
        <w:adjustRightInd w:val="0"/>
        <w:spacing w:line="300" w:lineRule="auto"/>
        <w:outlineLvl w:val="2"/>
        <w:rPr>
          <w:rFonts w:eastAsia="黑体"/>
          <w:color w:val="auto"/>
          <w:sz w:val="30"/>
          <w:highlight w:val="none"/>
        </w:rPr>
      </w:pPr>
      <w:bookmarkStart w:id="31" w:name="_Toc221784028"/>
      <w:r>
        <w:rPr>
          <w:rFonts w:eastAsia="黑体"/>
          <w:color w:val="auto"/>
          <w:sz w:val="30"/>
          <w:highlight w:val="none"/>
        </w:rPr>
        <w:t>3.3.2 提交文件</w:t>
      </w:r>
      <w:bookmarkEnd w:id="31"/>
    </w:p>
    <w:p w14:paraId="13CA775E">
      <w:pPr>
        <w:widowControl/>
        <w:adjustRightInd w:val="0"/>
        <w:snapToGrid w:val="0"/>
        <w:spacing w:line="360" w:lineRule="auto"/>
        <w:ind w:firstLine="480" w:firstLineChars="200"/>
        <w:rPr>
          <w:color w:val="auto"/>
          <w:kern w:val="0"/>
          <w:sz w:val="24"/>
          <w:highlight w:val="none"/>
        </w:rPr>
      </w:pPr>
      <w:r>
        <w:rPr>
          <w:color w:val="auto"/>
          <w:kern w:val="0"/>
          <w:sz w:val="24"/>
          <w:highlight w:val="none"/>
        </w:rPr>
        <w:t>《工艺流程图》、《装置三维布置图》、《运行流程文件》及《管道应力计算报告》。</w:t>
      </w:r>
    </w:p>
    <w:p w14:paraId="645F1EB6">
      <w:pPr>
        <w:keepNext/>
        <w:keepLines/>
        <w:adjustRightInd w:val="0"/>
        <w:spacing w:line="300" w:lineRule="auto"/>
        <w:outlineLvl w:val="2"/>
        <w:rPr>
          <w:rFonts w:eastAsia="黑体"/>
          <w:color w:val="auto"/>
          <w:sz w:val="30"/>
          <w:highlight w:val="none"/>
        </w:rPr>
      </w:pPr>
      <w:bookmarkStart w:id="32" w:name="_Toc221784029"/>
      <w:r>
        <w:rPr>
          <w:rFonts w:eastAsia="黑体"/>
          <w:color w:val="auto"/>
          <w:sz w:val="30"/>
          <w:highlight w:val="none"/>
        </w:rPr>
        <w:t>3.3.3 工艺流程</w:t>
      </w:r>
      <w:bookmarkEnd w:id="32"/>
    </w:p>
    <w:p w14:paraId="7240E125">
      <w:pPr>
        <w:widowControl/>
        <w:adjustRightInd w:val="0"/>
        <w:snapToGrid w:val="0"/>
        <w:spacing w:line="360" w:lineRule="auto"/>
        <w:ind w:firstLine="480" w:firstLineChars="200"/>
        <w:rPr>
          <w:color w:val="auto"/>
          <w:kern w:val="0"/>
          <w:sz w:val="24"/>
          <w:highlight w:val="none"/>
        </w:rPr>
      </w:pPr>
      <w:r>
        <w:rPr>
          <w:color w:val="auto"/>
          <w:kern w:val="0"/>
          <w:sz w:val="24"/>
          <w:highlight w:val="none"/>
        </w:rPr>
        <w:t>从锂铅驱动泵加压后的锂铅约280～380℃，进入回热器壳程被通过实验段回流的高温锂铅加热，进入电加热器升温至450℃～550℃，再进入实验段1或实验段2（实验段1和2不是同时运行，通过阀门隔离）。流经实验段1或实验段2的锂铅进入回热器管程，回收热量再进冷却器，温度降低至280～350℃。随后进入除杂系统，锂铅中的大部分杂质被滤网过滤掉，经过净化的锂铅进入驱动泵加压，如此循环。</w:t>
      </w:r>
      <w:r>
        <w:rPr>
          <w:color w:val="auto"/>
          <w:kern w:val="0"/>
          <w:sz w:val="24"/>
          <w:highlight w:val="none"/>
          <w:u w:val="single"/>
        </w:rPr>
        <w:t>额定工况：实验段入口流量1.7kg/s，入口温度550℃</w:t>
      </w:r>
      <w:r>
        <w:rPr>
          <w:color w:val="auto"/>
          <w:kern w:val="0"/>
          <w:sz w:val="24"/>
          <w:highlight w:val="none"/>
        </w:rPr>
        <w:t>。</w:t>
      </w:r>
    </w:p>
    <w:p w14:paraId="06ED6DFE">
      <w:pPr>
        <w:widowControl/>
        <w:adjustRightInd w:val="0"/>
        <w:snapToGrid w:val="0"/>
        <w:spacing w:line="360" w:lineRule="auto"/>
        <w:ind w:firstLine="480" w:firstLineChars="200"/>
        <w:rPr>
          <w:color w:val="auto"/>
          <w:kern w:val="0"/>
          <w:sz w:val="24"/>
          <w:highlight w:val="none"/>
        </w:rPr>
      </w:pPr>
      <w:r>
        <w:rPr>
          <w:color w:val="auto"/>
          <w:kern w:val="0"/>
          <w:sz w:val="24"/>
          <w:highlight w:val="none"/>
        </w:rPr>
        <w:t>系统主要设备包括：液态金属驱动泵、回热器、加热器、实验段1和2、冷却器、除杂系统、膨胀罐、锂铅储罐、真空系统、惰性气体系统（如图1）。实验段2的实验有取样需求，在实验段2处设置手套箱（甲方提供），乙方应设计手套箱与回路的接口。</w:t>
      </w:r>
    </w:p>
    <w:p w14:paraId="2A893451">
      <w:pPr>
        <w:widowControl/>
        <w:adjustRightInd w:val="0"/>
        <w:snapToGrid w:val="0"/>
        <w:spacing w:line="360" w:lineRule="auto"/>
        <w:ind w:firstLine="480" w:firstLineChars="200"/>
        <w:rPr>
          <w:color w:val="auto"/>
          <w:kern w:val="0"/>
          <w:sz w:val="24"/>
          <w:highlight w:val="none"/>
        </w:rPr>
      </w:pPr>
      <w:r>
        <w:rPr>
          <w:color w:val="auto"/>
          <w:kern w:val="0"/>
          <w:sz w:val="24"/>
          <w:highlight w:val="none"/>
        </w:rPr>
        <w:t>磁体通过导轨在实验段1和实验段2之间滑动。采用实验段1进行实验时，将磁体推向实验段1；采用实验段2进行实验时，将磁体推向实验段2。因此两个实验段的高度应</w:t>
      </w:r>
      <w:r>
        <w:rPr>
          <w:rFonts w:hint="eastAsia"/>
          <w:color w:val="auto"/>
          <w:kern w:val="0"/>
          <w:sz w:val="24"/>
          <w:highlight w:val="none"/>
        </w:rPr>
        <w:t>一致</w:t>
      </w:r>
      <w:r>
        <w:rPr>
          <w:color w:val="auto"/>
          <w:kern w:val="0"/>
          <w:sz w:val="24"/>
          <w:highlight w:val="none"/>
        </w:rPr>
        <w:t>（具体尺寸详见3.4.2），便于磁体通过滑轨切换位置。其中，磁体及轨道由甲方提供，乙方设计好磁体与回路的接口。</w:t>
      </w:r>
    </w:p>
    <w:p w14:paraId="42CA55FF">
      <w:pPr>
        <w:widowControl/>
        <w:rPr>
          <w:color w:val="auto"/>
          <w:highlight w:val="none"/>
        </w:rPr>
      </w:pPr>
    </w:p>
    <w:p w14:paraId="325E9577">
      <w:pPr>
        <w:widowControl/>
        <w:adjustRightInd w:val="0"/>
        <w:snapToGrid w:val="0"/>
        <w:spacing w:line="360" w:lineRule="auto"/>
        <w:jc w:val="center"/>
        <w:rPr>
          <w:color w:val="auto"/>
          <w:kern w:val="0"/>
          <w:sz w:val="24"/>
          <w:highlight w:val="none"/>
        </w:rPr>
      </w:pPr>
      <w:r>
        <w:rPr>
          <w:color w:val="auto"/>
          <w:kern w:val="0"/>
          <w:sz w:val="24"/>
          <w:highlight w:val="none"/>
        </w:rPr>
        <w:drawing>
          <wp:inline distT="0" distB="0" distL="114300" distR="114300">
            <wp:extent cx="4911090" cy="3685540"/>
            <wp:effectExtent l="0" t="0" r="11430" b="2540"/>
            <wp:docPr id="5" name="图片 20"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图示&#10;&#10;AI 生成的内容可能不正确。"/>
                    <pic:cNvPicPr>
                      <a:picLocks noChangeAspect="1"/>
                    </pic:cNvPicPr>
                  </pic:nvPicPr>
                  <pic:blipFill>
                    <a:blip r:embed="rId13"/>
                    <a:stretch>
                      <a:fillRect/>
                    </a:stretch>
                  </pic:blipFill>
                  <pic:spPr>
                    <a:xfrm>
                      <a:off x="0" y="0"/>
                      <a:ext cx="4911090" cy="3685540"/>
                    </a:xfrm>
                    <a:prstGeom prst="rect">
                      <a:avLst/>
                    </a:prstGeom>
                    <a:noFill/>
                    <a:ln>
                      <a:noFill/>
                    </a:ln>
                  </pic:spPr>
                </pic:pic>
              </a:graphicData>
            </a:graphic>
          </wp:inline>
        </w:drawing>
      </w:r>
    </w:p>
    <w:p w14:paraId="3EE45DA0">
      <w:pPr>
        <w:widowControl/>
        <w:overflowPunct w:val="0"/>
        <w:adjustRightInd w:val="0"/>
        <w:snapToGrid w:val="0"/>
        <w:spacing w:line="360" w:lineRule="auto"/>
        <w:jc w:val="center"/>
        <w:rPr>
          <w:color w:val="auto"/>
          <w:kern w:val="0"/>
          <w:sz w:val="24"/>
          <w:highlight w:val="none"/>
        </w:rPr>
      </w:pPr>
      <w:r>
        <w:rPr>
          <w:color w:val="auto"/>
          <w:kern w:val="0"/>
          <w:sz w:val="24"/>
          <w:highlight w:val="none"/>
        </w:rPr>
        <w:t>图1. 系统简图（仅供参考，乙方可优化）</w:t>
      </w:r>
    </w:p>
    <w:p w14:paraId="7EE0B0EA">
      <w:pPr>
        <w:widowControl/>
        <w:rPr>
          <w:color w:val="auto"/>
          <w:highlight w:val="none"/>
        </w:rPr>
      </w:pPr>
    </w:p>
    <w:p w14:paraId="28578F3A">
      <w:pPr>
        <w:keepNext/>
        <w:keepLines/>
        <w:adjustRightInd w:val="0"/>
        <w:spacing w:before="120" w:beforeLines="50" w:after="120" w:afterLines="50" w:line="300" w:lineRule="auto"/>
        <w:outlineLvl w:val="2"/>
        <w:rPr>
          <w:rFonts w:eastAsia="黑体"/>
          <w:color w:val="auto"/>
          <w:sz w:val="30"/>
          <w:highlight w:val="none"/>
        </w:rPr>
      </w:pPr>
      <w:bookmarkStart w:id="33" w:name="_Toc221784030"/>
      <w:r>
        <w:rPr>
          <w:rFonts w:eastAsia="黑体"/>
          <w:color w:val="auto"/>
          <w:sz w:val="30"/>
          <w:highlight w:val="none"/>
        </w:rPr>
        <w:t>3.3.4 实验段运行工况</w:t>
      </w:r>
      <w:bookmarkEnd w:id="33"/>
    </w:p>
    <w:p w14:paraId="623D2DFE">
      <w:pPr>
        <w:widowControl/>
        <w:spacing w:line="360" w:lineRule="auto"/>
        <w:ind w:firstLine="480" w:firstLineChars="200"/>
        <w:rPr>
          <w:color w:val="auto"/>
          <w:kern w:val="0"/>
          <w:sz w:val="24"/>
          <w:highlight w:val="none"/>
        </w:rPr>
      </w:pPr>
      <w:r>
        <w:rPr>
          <w:color w:val="auto"/>
          <w:kern w:val="0"/>
          <w:sz w:val="24"/>
          <w:highlight w:val="none"/>
        </w:rPr>
        <w:t>回路验收时，实验段1置于磁场，阻力较大；实验段2不置于磁场，阻力较小，满足以下几个工况：</w:t>
      </w:r>
    </w:p>
    <w:tbl>
      <w:tblPr>
        <w:tblStyle w:val="3"/>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1977"/>
        <w:gridCol w:w="1978"/>
        <w:gridCol w:w="876"/>
        <w:gridCol w:w="1414"/>
      </w:tblGrid>
      <w:tr w14:paraId="558C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1B93A396">
            <w:pPr>
              <w:widowControl/>
              <w:jc w:val="center"/>
              <w:rPr>
                <w:color w:val="auto"/>
                <w:kern w:val="0"/>
                <w:sz w:val="24"/>
                <w:highlight w:val="none"/>
              </w:rPr>
            </w:pPr>
            <w:r>
              <w:rPr>
                <w:color w:val="auto"/>
                <w:kern w:val="0"/>
                <w:sz w:val="24"/>
                <w:highlight w:val="none"/>
              </w:rPr>
              <w:t>工况</w:t>
            </w:r>
          </w:p>
        </w:tc>
        <w:tc>
          <w:tcPr>
            <w:tcW w:w="1984" w:type="dxa"/>
            <w:noWrap w:val="0"/>
            <w:vAlign w:val="center"/>
          </w:tcPr>
          <w:p w14:paraId="29E14994">
            <w:pPr>
              <w:widowControl/>
              <w:jc w:val="center"/>
              <w:rPr>
                <w:color w:val="auto"/>
                <w:kern w:val="0"/>
                <w:sz w:val="24"/>
                <w:highlight w:val="none"/>
              </w:rPr>
            </w:pPr>
            <w:r>
              <w:rPr>
                <w:color w:val="auto"/>
                <w:kern w:val="0"/>
                <w:sz w:val="24"/>
                <w:highlight w:val="none"/>
              </w:rPr>
              <w:t>实验段入口流量</w:t>
            </w:r>
          </w:p>
          <w:p w14:paraId="58AC49B0">
            <w:pPr>
              <w:widowControl/>
              <w:jc w:val="center"/>
              <w:rPr>
                <w:color w:val="auto"/>
                <w:kern w:val="0"/>
                <w:sz w:val="24"/>
                <w:highlight w:val="none"/>
              </w:rPr>
            </w:pPr>
            <w:r>
              <w:rPr>
                <w:color w:val="auto"/>
                <w:kern w:val="0"/>
                <w:sz w:val="24"/>
                <w:highlight w:val="none"/>
              </w:rPr>
              <w:t>kg/s</w:t>
            </w:r>
          </w:p>
        </w:tc>
        <w:tc>
          <w:tcPr>
            <w:tcW w:w="1985" w:type="dxa"/>
            <w:noWrap w:val="0"/>
            <w:vAlign w:val="center"/>
          </w:tcPr>
          <w:p w14:paraId="3799E5AD">
            <w:pPr>
              <w:widowControl/>
              <w:jc w:val="center"/>
              <w:rPr>
                <w:color w:val="auto"/>
                <w:kern w:val="0"/>
                <w:sz w:val="24"/>
                <w:highlight w:val="none"/>
              </w:rPr>
            </w:pPr>
            <w:r>
              <w:rPr>
                <w:color w:val="auto"/>
                <w:kern w:val="0"/>
                <w:sz w:val="24"/>
                <w:highlight w:val="none"/>
              </w:rPr>
              <w:t>实验段入口温度</w:t>
            </w:r>
          </w:p>
          <w:p w14:paraId="40DF4EAE">
            <w:pPr>
              <w:widowControl/>
              <w:jc w:val="center"/>
              <w:rPr>
                <w:color w:val="auto"/>
                <w:kern w:val="0"/>
                <w:sz w:val="24"/>
                <w:highlight w:val="none"/>
              </w:rPr>
            </w:pPr>
            <w:r>
              <w:rPr>
                <w:color w:val="auto"/>
                <w:kern w:val="0"/>
                <w:sz w:val="24"/>
                <w:highlight w:val="none"/>
              </w:rPr>
              <w:t>℃</w:t>
            </w:r>
          </w:p>
        </w:tc>
        <w:tc>
          <w:tcPr>
            <w:tcW w:w="850" w:type="dxa"/>
            <w:noWrap w:val="0"/>
            <w:vAlign w:val="center"/>
          </w:tcPr>
          <w:p w14:paraId="429A6AF6">
            <w:pPr>
              <w:widowControl/>
              <w:jc w:val="center"/>
              <w:rPr>
                <w:color w:val="auto"/>
                <w:kern w:val="0"/>
                <w:sz w:val="24"/>
                <w:highlight w:val="none"/>
              </w:rPr>
            </w:pPr>
            <w:r>
              <w:rPr>
                <w:color w:val="auto"/>
                <w:kern w:val="0"/>
                <w:sz w:val="24"/>
                <w:highlight w:val="none"/>
              </w:rPr>
              <w:t>压降 kPa</w:t>
            </w:r>
          </w:p>
        </w:tc>
        <w:tc>
          <w:tcPr>
            <w:tcW w:w="1418" w:type="dxa"/>
            <w:noWrap w:val="0"/>
            <w:vAlign w:val="center"/>
          </w:tcPr>
          <w:p w14:paraId="2CA646D9">
            <w:pPr>
              <w:widowControl/>
              <w:jc w:val="center"/>
              <w:rPr>
                <w:color w:val="auto"/>
                <w:kern w:val="0"/>
                <w:sz w:val="24"/>
                <w:highlight w:val="none"/>
              </w:rPr>
            </w:pPr>
            <w:r>
              <w:rPr>
                <w:color w:val="auto"/>
                <w:kern w:val="0"/>
                <w:sz w:val="24"/>
                <w:highlight w:val="none"/>
              </w:rPr>
              <w:t>泵入口温度</w:t>
            </w:r>
          </w:p>
          <w:p w14:paraId="06A8CDA1">
            <w:pPr>
              <w:widowControl/>
              <w:jc w:val="center"/>
              <w:rPr>
                <w:color w:val="auto"/>
                <w:kern w:val="0"/>
                <w:sz w:val="24"/>
                <w:highlight w:val="none"/>
              </w:rPr>
            </w:pPr>
            <w:r>
              <w:rPr>
                <w:color w:val="auto"/>
                <w:kern w:val="0"/>
                <w:sz w:val="24"/>
                <w:highlight w:val="none"/>
              </w:rPr>
              <w:t>℃</w:t>
            </w:r>
          </w:p>
        </w:tc>
      </w:tr>
      <w:tr w14:paraId="02CE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center"/>
          </w:tcPr>
          <w:p w14:paraId="6614BDAE">
            <w:pPr>
              <w:widowControl/>
              <w:jc w:val="center"/>
              <w:rPr>
                <w:color w:val="auto"/>
                <w:kern w:val="0"/>
                <w:sz w:val="24"/>
                <w:highlight w:val="none"/>
              </w:rPr>
            </w:pPr>
            <w:r>
              <w:rPr>
                <w:color w:val="auto"/>
                <w:kern w:val="0"/>
                <w:sz w:val="24"/>
                <w:highlight w:val="none"/>
              </w:rPr>
              <w:t>工况1</w:t>
            </w:r>
          </w:p>
          <w:p w14:paraId="580D35CB">
            <w:pPr>
              <w:widowControl/>
              <w:jc w:val="center"/>
              <w:rPr>
                <w:color w:val="auto"/>
                <w:kern w:val="0"/>
                <w:sz w:val="24"/>
                <w:highlight w:val="none"/>
              </w:rPr>
            </w:pPr>
            <w:r>
              <w:rPr>
                <w:color w:val="auto"/>
                <w:kern w:val="0"/>
                <w:sz w:val="24"/>
                <w:highlight w:val="none"/>
              </w:rPr>
              <w:t>（流经实验段2）</w:t>
            </w:r>
          </w:p>
        </w:tc>
        <w:tc>
          <w:tcPr>
            <w:tcW w:w="1984" w:type="dxa"/>
            <w:noWrap w:val="0"/>
            <w:vAlign w:val="center"/>
          </w:tcPr>
          <w:p w14:paraId="2F6B3435">
            <w:pPr>
              <w:widowControl/>
              <w:jc w:val="center"/>
              <w:rPr>
                <w:color w:val="auto"/>
                <w:kern w:val="0"/>
                <w:sz w:val="24"/>
                <w:highlight w:val="none"/>
              </w:rPr>
            </w:pPr>
            <w:r>
              <w:rPr>
                <w:color w:val="auto"/>
                <w:kern w:val="0"/>
                <w:sz w:val="24"/>
                <w:highlight w:val="none"/>
              </w:rPr>
              <w:t>0.3</w:t>
            </w:r>
          </w:p>
        </w:tc>
        <w:tc>
          <w:tcPr>
            <w:tcW w:w="1985" w:type="dxa"/>
            <w:noWrap w:val="0"/>
            <w:vAlign w:val="center"/>
          </w:tcPr>
          <w:p w14:paraId="0FFB57B4">
            <w:pPr>
              <w:widowControl/>
              <w:jc w:val="center"/>
              <w:rPr>
                <w:color w:val="auto"/>
                <w:kern w:val="0"/>
                <w:sz w:val="24"/>
                <w:highlight w:val="none"/>
              </w:rPr>
            </w:pPr>
            <w:r>
              <w:rPr>
                <w:color w:val="auto"/>
                <w:kern w:val="0"/>
                <w:sz w:val="24"/>
                <w:highlight w:val="none"/>
              </w:rPr>
              <w:t>550</w:t>
            </w:r>
          </w:p>
        </w:tc>
        <w:tc>
          <w:tcPr>
            <w:tcW w:w="850" w:type="dxa"/>
            <w:noWrap w:val="0"/>
            <w:vAlign w:val="center"/>
          </w:tcPr>
          <w:p w14:paraId="08102D7C">
            <w:pPr>
              <w:widowControl/>
              <w:jc w:val="center"/>
              <w:rPr>
                <w:color w:val="auto"/>
                <w:kern w:val="0"/>
                <w:sz w:val="24"/>
                <w:highlight w:val="none"/>
              </w:rPr>
            </w:pPr>
            <w:r>
              <w:rPr>
                <w:color w:val="auto"/>
                <w:kern w:val="0"/>
                <w:sz w:val="24"/>
                <w:highlight w:val="none"/>
              </w:rPr>
              <w:t>0.0039</w:t>
            </w:r>
          </w:p>
        </w:tc>
        <w:tc>
          <w:tcPr>
            <w:tcW w:w="1418" w:type="dxa"/>
            <w:noWrap w:val="0"/>
            <w:vAlign w:val="center"/>
          </w:tcPr>
          <w:p w14:paraId="1FBEC254">
            <w:pPr>
              <w:widowControl/>
              <w:jc w:val="center"/>
              <w:rPr>
                <w:color w:val="auto"/>
                <w:kern w:val="0"/>
                <w:sz w:val="24"/>
                <w:highlight w:val="none"/>
              </w:rPr>
            </w:pP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45"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63A&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3763A&quot; wsp:rsidP=&quot;0063763A&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46"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63A&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63763A&quot; wsp:rsidP=&quot;0063763A&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fldChar w:fldCharType="end"/>
            </w:r>
            <w:r>
              <w:rPr>
                <w:color w:val="auto"/>
                <w:kern w:val="0"/>
                <w:sz w:val="24"/>
                <w:highlight w:val="none"/>
              </w:rPr>
              <w:t>350</w:t>
            </w:r>
          </w:p>
        </w:tc>
      </w:tr>
      <w:tr w14:paraId="3D4B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top"/>
          </w:tcPr>
          <w:p w14:paraId="51510E95">
            <w:pPr>
              <w:widowControl/>
              <w:jc w:val="center"/>
              <w:rPr>
                <w:color w:val="auto"/>
                <w:kern w:val="0"/>
                <w:sz w:val="24"/>
                <w:highlight w:val="none"/>
              </w:rPr>
            </w:pPr>
            <w:r>
              <w:rPr>
                <w:color w:val="auto"/>
                <w:kern w:val="0"/>
                <w:sz w:val="24"/>
                <w:highlight w:val="none"/>
              </w:rPr>
              <w:t>工况2</w:t>
            </w:r>
          </w:p>
          <w:p w14:paraId="6B113648">
            <w:pPr>
              <w:widowControl/>
              <w:jc w:val="center"/>
              <w:rPr>
                <w:color w:val="auto"/>
                <w:kern w:val="0"/>
                <w:sz w:val="24"/>
                <w:highlight w:val="none"/>
              </w:rPr>
            </w:pPr>
            <w:r>
              <w:rPr>
                <w:color w:val="auto"/>
                <w:kern w:val="0"/>
                <w:sz w:val="24"/>
                <w:highlight w:val="none"/>
              </w:rPr>
              <w:t>（流经实验段1）</w:t>
            </w:r>
          </w:p>
        </w:tc>
        <w:tc>
          <w:tcPr>
            <w:tcW w:w="1984" w:type="dxa"/>
            <w:noWrap w:val="0"/>
            <w:vAlign w:val="center"/>
          </w:tcPr>
          <w:p w14:paraId="0BFBCB8E">
            <w:pPr>
              <w:widowControl/>
              <w:jc w:val="center"/>
              <w:rPr>
                <w:color w:val="auto"/>
                <w:kern w:val="0"/>
                <w:sz w:val="24"/>
                <w:highlight w:val="none"/>
              </w:rPr>
            </w:pPr>
            <w:r>
              <w:rPr>
                <w:color w:val="auto"/>
                <w:kern w:val="0"/>
                <w:sz w:val="24"/>
                <w:highlight w:val="none"/>
              </w:rPr>
              <w:t>1.7</w:t>
            </w:r>
          </w:p>
        </w:tc>
        <w:tc>
          <w:tcPr>
            <w:tcW w:w="1985" w:type="dxa"/>
            <w:noWrap w:val="0"/>
            <w:vAlign w:val="center"/>
          </w:tcPr>
          <w:p w14:paraId="26430F32">
            <w:pPr>
              <w:widowControl/>
              <w:jc w:val="center"/>
              <w:rPr>
                <w:color w:val="auto"/>
                <w:kern w:val="0"/>
                <w:sz w:val="24"/>
                <w:highlight w:val="none"/>
              </w:rPr>
            </w:pPr>
            <w:r>
              <w:rPr>
                <w:color w:val="auto"/>
                <w:kern w:val="0"/>
                <w:sz w:val="24"/>
                <w:highlight w:val="none"/>
              </w:rPr>
              <w:t>550</w:t>
            </w:r>
          </w:p>
        </w:tc>
        <w:tc>
          <w:tcPr>
            <w:tcW w:w="850" w:type="dxa"/>
            <w:noWrap w:val="0"/>
            <w:vAlign w:val="center"/>
          </w:tcPr>
          <w:p w14:paraId="19E9BC13">
            <w:pPr>
              <w:widowControl/>
              <w:jc w:val="center"/>
              <w:rPr>
                <w:color w:val="auto"/>
                <w:kern w:val="0"/>
                <w:sz w:val="24"/>
                <w:highlight w:val="none"/>
              </w:rPr>
            </w:pPr>
            <w:r>
              <w:rPr>
                <w:color w:val="auto"/>
                <w:kern w:val="0"/>
                <w:sz w:val="24"/>
                <w:highlight w:val="none"/>
              </w:rPr>
              <w:t>32</w:t>
            </w:r>
          </w:p>
        </w:tc>
        <w:tc>
          <w:tcPr>
            <w:tcW w:w="1418" w:type="dxa"/>
            <w:noWrap w:val="0"/>
            <w:vAlign w:val="center"/>
          </w:tcPr>
          <w:p w14:paraId="6B1D8EB6">
            <w:pPr>
              <w:widowControl/>
              <w:jc w:val="center"/>
              <w:rPr>
                <w:color w:val="auto"/>
                <w:kern w:val="0"/>
                <w:sz w:val="24"/>
                <w:highlight w:val="none"/>
              </w:rPr>
            </w:pP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47"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D93&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AC5D93&quot; wsp:rsidP=&quot;00AC5D93&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48"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D93&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AC5D93&quot; wsp:rsidP=&quot;00AC5D93&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fldChar w:fldCharType="end"/>
            </w:r>
            <w:r>
              <w:rPr>
                <w:color w:val="auto"/>
                <w:kern w:val="0"/>
                <w:sz w:val="24"/>
                <w:highlight w:val="none"/>
              </w:rPr>
              <w:t>350</w:t>
            </w:r>
          </w:p>
        </w:tc>
      </w:tr>
      <w:tr w14:paraId="0BBD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top"/>
          </w:tcPr>
          <w:p w14:paraId="3C1A7E73">
            <w:pPr>
              <w:widowControl/>
              <w:jc w:val="center"/>
              <w:rPr>
                <w:color w:val="auto"/>
                <w:kern w:val="0"/>
                <w:sz w:val="24"/>
                <w:highlight w:val="none"/>
              </w:rPr>
            </w:pPr>
            <w:r>
              <w:rPr>
                <w:color w:val="auto"/>
                <w:kern w:val="0"/>
                <w:sz w:val="24"/>
                <w:highlight w:val="none"/>
              </w:rPr>
              <w:t>工况3</w:t>
            </w:r>
          </w:p>
          <w:p w14:paraId="2B533C85">
            <w:pPr>
              <w:widowControl/>
              <w:jc w:val="center"/>
              <w:rPr>
                <w:color w:val="auto"/>
                <w:kern w:val="0"/>
                <w:sz w:val="24"/>
                <w:highlight w:val="none"/>
              </w:rPr>
            </w:pPr>
            <w:r>
              <w:rPr>
                <w:color w:val="auto"/>
                <w:kern w:val="0"/>
                <w:sz w:val="24"/>
                <w:highlight w:val="none"/>
              </w:rPr>
              <w:t>（流经实验段2）</w:t>
            </w:r>
          </w:p>
        </w:tc>
        <w:tc>
          <w:tcPr>
            <w:tcW w:w="1984" w:type="dxa"/>
            <w:noWrap w:val="0"/>
            <w:vAlign w:val="center"/>
          </w:tcPr>
          <w:p w14:paraId="1AE790E9">
            <w:pPr>
              <w:widowControl/>
              <w:jc w:val="center"/>
              <w:rPr>
                <w:color w:val="auto"/>
                <w:kern w:val="0"/>
                <w:sz w:val="24"/>
                <w:highlight w:val="none"/>
              </w:rPr>
            </w:pPr>
            <w:r>
              <w:rPr>
                <w:color w:val="auto"/>
                <w:kern w:val="0"/>
                <w:sz w:val="24"/>
                <w:highlight w:val="none"/>
              </w:rPr>
              <w:t>2.9</w:t>
            </w:r>
          </w:p>
        </w:tc>
        <w:tc>
          <w:tcPr>
            <w:tcW w:w="1985" w:type="dxa"/>
            <w:noWrap w:val="0"/>
            <w:vAlign w:val="center"/>
          </w:tcPr>
          <w:p w14:paraId="77782FC7">
            <w:pPr>
              <w:widowControl/>
              <w:jc w:val="center"/>
              <w:rPr>
                <w:color w:val="auto"/>
                <w:kern w:val="0"/>
                <w:sz w:val="24"/>
                <w:highlight w:val="none"/>
              </w:rPr>
            </w:pPr>
            <w:r>
              <w:rPr>
                <w:color w:val="auto"/>
                <w:kern w:val="0"/>
                <w:sz w:val="24"/>
                <w:highlight w:val="none"/>
              </w:rPr>
              <w:t>500</w:t>
            </w:r>
          </w:p>
        </w:tc>
        <w:tc>
          <w:tcPr>
            <w:tcW w:w="850" w:type="dxa"/>
            <w:noWrap w:val="0"/>
            <w:vAlign w:val="center"/>
          </w:tcPr>
          <w:p w14:paraId="7A3BF036">
            <w:pPr>
              <w:widowControl/>
              <w:jc w:val="center"/>
              <w:rPr>
                <w:color w:val="auto"/>
                <w:kern w:val="0"/>
                <w:sz w:val="24"/>
                <w:highlight w:val="none"/>
              </w:rPr>
            </w:pPr>
            <w:r>
              <w:rPr>
                <w:color w:val="auto"/>
                <w:kern w:val="0"/>
                <w:sz w:val="24"/>
                <w:highlight w:val="none"/>
              </w:rPr>
              <w:t>0.28</w:t>
            </w:r>
          </w:p>
        </w:tc>
        <w:tc>
          <w:tcPr>
            <w:tcW w:w="1418" w:type="dxa"/>
            <w:noWrap w:val="0"/>
            <w:vAlign w:val="center"/>
          </w:tcPr>
          <w:p w14:paraId="1CECBD18">
            <w:pPr>
              <w:widowControl/>
              <w:jc w:val="center"/>
              <w:rPr>
                <w:color w:val="auto"/>
                <w:kern w:val="0"/>
                <w:sz w:val="24"/>
                <w:highlight w:val="none"/>
              </w:rPr>
            </w:pP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49"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0DFB&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910DFB&quot; wsp:rsidP=&quot;00910DFB&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50"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0DFB&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910DFB&quot; wsp:rsidP=&quot;00910DFB&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fldChar w:fldCharType="end"/>
            </w:r>
            <w:r>
              <w:rPr>
                <w:color w:val="auto"/>
                <w:kern w:val="0"/>
                <w:sz w:val="24"/>
                <w:highlight w:val="none"/>
              </w:rPr>
              <w:t>350</w:t>
            </w:r>
          </w:p>
        </w:tc>
      </w:tr>
      <w:tr w14:paraId="10E1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noWrap w:val="0"/>
            <w:vAlign w:val="top"/>
          </w:tcPr>
          <w:p w14:paraId="4EF6ED63">
            <w:pPr>
              <w:widowControl/>
              <w:jc w:val="center"/>
              <w:rPr>
                <w:color w:val="auto"/>
                <w:kern w:val="0"/>
                <w:sz w:val="24"/>
                <w:highlight w:val="none"/>
              </w:rPr>
            </w:pPr>
            <w:r>
              <w:rPr>
                <w:color w:val="auto"/>
                <w:kern w:val="0"/>
                <w:sz w:val="24"/>
                <w:highlight w:val="none"/>
              </w:rPr>
              <w:t>工况4</w:t>
            </w:r>
          </w:p>
          <w:p w14:paraId="7DBE0675">
            <w:pPr>
              <w:widowControl/>
              <w:jc w:val="center"/>
              <w:rPr>
                <w:color w:val="auto"/>
                <w:kern w:val="0"/>
                <w:sz w:val="24"/>
                <w:highlight w:val="none"/>
              </w:rPr>
            </w:pPr>
            <w:r>
              <w:rPr>
                <w:color w:val="auto"/>
                <w:kern w:val="0"/>
                <w:sz w:val="24"/>
                <w:highlight w:val="none"/>
              </w:rPr>
              <w:t>（流经实验段1）</w:t>
            </w:r>
          </w:p>
        </w:tc>
        <w:tc>
          <w:tcPr>
            <w:tcW w:w="1984" w:type="dxa"/>
            <w:noWrap w:val="0"/>
            <w:vAlign w:val="center"/>
          </w:tcPr>
          <w:p w14:paraId="13EB2ACE">
            <w:pPr>
              <w:widowControl/>
              <w:jc w:val="center"/>
              <w:rPr>
                <w:color w:val="auto"/>
                <w:kern w:val="0"/>
                <w:sz w:val="24"/>
                <w:highlight w:val="none"/>
              </w:rPr>
            </w:pPr>
            <w:r>
              <w:rPr>
                <w:color w:val="auto"/>
                <w:kern w:val="0"/>
                <w:sz w:val="24"/>
                <w:highlight w:val="none"/>
              </w:rPr>
              <w:t>5.3</w:t>
            </w:r>
          </w:p>
        </w:tc>
        <w:tc>
          <w:tcPr>
            <w:tcW w:w="1985" w:type="dxa"/>
            <w:noWrap w:val="0"/>
            <w:vAlign w:val="center"/>
          </w:tcPr>
          <w:p w14:paraId="1862F9E4">
            <w:pPr>
              <w:widowControl/>
              <w:jc w:val="center"/>
              <w:rPr>
                <w:color w:val="auto"/>
                <w:kern w:val="0"/>
                <w:sz w:val="24"/>
                <w:highlight w:val="none"/>
              </w:rPr>
            </w:pPr>
            <w:r>
              <w:rPr>
                <w:color w:val="auto"/>
                <w:kern w:val="0"/>
                <w:sz w:val="24"/>
                <w:highlight w:val="none"/>
              </w:rPr>
              <w:t>450</w:t>
            </w:r>
          </w:p>
        </w:tc>
        <w:tc>
          <w:tcPr>
            <w:tcW w:w="850" w:type="dxa"/>
            <w:noWrap w:val="0"/>
            <w:vAlign w:val="center"/>
          </w:tcPr>
          <w:p w14:paraId="66C948B9">
            <w:pPr>
              <w:widowControl/>
              <w:jc w:val="center"/>
              <w:rPr>
                <w:color w:val="auto"/>
                <w:kern w:val="0"/>
                <w:sz w:val="24"/>
                <w:highlight w:val="none"/>
              </w:rPr>
            </w:pPr>
            <w:r>
              <w:rPr>
                <w:color w:val="auto"/>
                <w:kern w:val="0"/>
                <w:sz w:val="24"/>
                <w:highlight w:val="none"/>
              </w:rPr>
              <w:t>100.2</w:t>
            </w:r>
          </w:p>
        </w:tc>
        <w:tc>
          <w:tcPr>
            <w:tcW w:w="1418" w:type="dxa"/>
            <w:noWrap w:val="0"/>
            <w:vAlign w:val="center"/>
          </w:tcPr>
          <w:p w14:paraId="17F8C996">
            <w:pPr>
              <w:widowControl/>
              <w:jc w:val="center"/>
              <w:rPr>
                <w:color w:val="auto"/>
                <w:kern w:val="0"/>
                <w:sz w:val="24"/>
                <w:highlight w:val="none"/>
              </w:rPr>
            </w:pP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51"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1477&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A01477&quot; wsp:rsidP=&quot;00A01477&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52"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1477&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A01477&quot; wsp:rsidP=&quot;00A01477&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fldChar w:fldCharType="end"/>
            </w:r>
            <w:r>
              <w:rPr>
                <w:color w:val="auto"/>
                <w:kern w:val="0"/>
                <w:sz w:val="24"/>
                <w:highlight w:val="none"/>
              </w:rPr>
              <w:t>350</w:t>
            </w:r>
          </w:p>
        </w:tc>
      </w:tr>
    </w:tbl>
    <w:p w14:paraId="38B262D8">
      <w:pPr>
        <w:widowControl/>
        <w:adjustRightInd w:val="0"/>
        <w:snapToGrid w:val="0"/>
        <w:spacing w:line="360" w:lineRule="auto"/>
        <w:rPr>
          <w:color w:val="auto"/>
          <w:kern w:val="0"/>
          <w:sz w:val="24"/>
          <w:highlight w:val="none"/>
        </w:rPr>
      </w:pPr>
    </w:p>
    <w:p w14:paraId="089D5AE6">
      <w:pPr>
        <w:keepNext/>
        <w:keepLines/>
        <w:adjustRightInd w:val="0"/>
        <w:spacing w:line="300" w:lineRule="auto"/>
        <w:outlineLvl w:val="2"/>
        <w:rPr>
          <w:rFonts w:eastAsia="黑体"/>
          <w:color w:val="auto"/>
          <w:sz w:val="30"/>
          <w:highlight w:val="none"/>
        </w:rPr>
      </w:pPr>
      <w:bookmarkStart w:id="34" w:name="_Toc221784031"/>
      <w:r>
        <w:rPr>
          <w:rFonts w:eastAsia="黑体"/>
          <w:color w:val="auto"/>
          <w:sz w:val="30"/>
          <w:highlight w:val="none"/>
        </w:rPr>
        <w:t>3.3.5 回路压降和</w:t>
      </w:r>
      <w:bookmarkStart w:id="35" w:name="OLE_LINK33"/>
      <w:r>
        <w:rPr>
          <w:rFonts w:eastAsia="黑体"/>
          <w:color w:val="auto"/>
          <w:sz w:val="30"/>
          <w:highlight w:val="none"/>
        </w:rPr>
        <w:t>腐蚀裕度</w:t>
      </w:r>
      <w:bookmarkEnd w:id="34"/>
      <w:bookmarkEnd w:id="35"/>
    </w:p>
    <w:p w14:paraId="05DFF9EB">
      <w:pPr>
        <w:widowControl/>
        <w:overflowPunct w:val="0"/>
        <w:spacing w:line="360" w:lineRule="auto"/>
        <w:ind w:firstLine="480" w:firstLineChars="200"/>
        <w:rPr>
          <w:color w:val="auto"/>
          <w:kern w:val="0"/>
          <w:sz w:val="24"/>
          <w:highlight w:val="none"/>
        </w:rPr>
      </w:pPr>
      <w:r>
        <w:rPr>
          <w:color w:val="auto"/>
          <w:kern w:val="0"/>
          <w:sz w:val="24"/>
          <w:highlight w:val="none"/>
        </w:rPr>
        <w:t>回路总压降应考虑实验段压降后，满足实验段流量要求。管道材料可选316L不锈钢（此材料不是必须，供应商应考虑锂铅腐蚀问题），腐蚀裕度建议为2 mm。</w:t>
      </w:r>
    </w:p>
    <w:p w14:paraId="00C9DAB7">
      <w:pPr>
        <w:keepNext/>
        <w:keepLines/>
        <w:adjustRightInd w:val="0"/>
        <w:spacing w:line="300" w:lineRule="auto"/>
        <w:outlineLvl w:val="2"/>
        <w:rPr>
          <w:rFonts w:eastAsia="黑体"/>
          <w:color w:val="auto"/>
          <w:sz w:val="30"/>
          <w:highlight w:val="none"/>
        </w:rPr>
      </w:pPr>
      <w:bookmarkStart w:id="36" w:name="_Toc221784032"/>
      <w:r>
        <w:rPr>
          <w:rFonts w:eastAsia="黑体"/>
          <w:color w:val="auto"/>
          <w:sz w:val="30"/>
          <w:highlight w:val="none"/>
        </w:rPr>
        <w:t>3.3.6 管道与设备管口、管道与管道、管道与管件之间的连接</w:t>
      </w:r>
      <w:bookmarkEnd w:id="36"/>
    </w:p>
    <w:p w14:paraId="498A62D1">
      <w:pPr>
        <w:widowControl/>
        <w:adjustRightInd w:val="0"/>
        <w:snapToGrid w:val="0"/>
        <w:spacing w:line="360" w:lineRule="auto"/>
        <w:ind w:firstLine="480" w:firstLineChars="200"/>
        <w:rPr>
          <w:color w:val="auto"/>
          <w:kern w:val="0"/>
          <w:sz w:val="24"/>
          <w:highlight w:val="none"/>
        </w:rPr>
      </w:pPr>
      <w:r>
        <w:rPr>
          <w:color w:val="auto"/>
          <w:kern w:val="0"/>
          <w:sz w:val="24"/>
          <w:highlight w:val="none"/>
        </w:rPr>
        <w:t>采用焊接，非特殊情况不采用法兰等其它形式的连接。</w:t>
      </w:r>
    </w:p>
    <w:p w14:paraId="375B7161">
      <w:pPr>
        <w:keepNext/>
        <w:keepLines/>
        <w:adjustRightInd w:val="0"/>
        <w:spacing w:line="300" w:lineRule="auto"/>
        <w:outlineLvl w:val="2"/>
        <w:rPr>
          <w:rFonts w:eastAsia="黑体"/>
          <w:color w:val="auto"/>
          <w:sz w:val="30"/>
          <w:highlight w:val="none"/>
        </w:rPr>
      </w:pPr>
      <w:bookmarkStart w:id="37" w:name="_Toc221784033"/>
      <w:r>
        <w:rPr>
          <w:rFonts w:eastAsia="黑体"/>
          <w:color w:val="auto"/>
          <w:sz w:val="30"/>
          <w:highlight w:val="none"/>
        </w:rPr>
        <w:t>3.3.7 调试和运行</w:t>
      </w:r>
      <w:bookmarkEnd w:id="37"/>
    </w:p>
    <w:p w14:paraId="3D6EB520">
      <w:pPr>
        <w:widowControl/>
        <w:adjustRightInd w:val="0"/>
        <w:snapToGrid w:val="0"/>
        <w:spacing w:line="360" w:lineRule="auto"/>
        <w:ind w:firstLine="480" w:firstLineChars="200"/>
        <w:rPr>
          <w:color w:val="auto"/>
          <w:kern w:val="0"/>
          <w:sz w:val="24"/>
          <w:highlight w:val="none"/>
        </w:rPr>
      </w:pPr>
      <w:r>
        <w:rPr>
          <w:color w:val="auto"/>
          <w:kern w:val="0"/>
          <w:sz w:val="24"/>
          <w:highlight w:val="none"/>
        </w:rPr>
        <w:t>在甲方现场进行系统安装和调试时，需有甲方参与。通过安装、调试和培训，乙方应培训甲方人员掌握：</w:t>
      </w:r>
    </w:p>
    <w:p w14:paraId="6123ACBA">
      <w:pPr>
        <w:widowControl/>
        <w:numPr>
          <w:ilvl w:val="0"/>
          <w:numId w:val="3"/>
        </w:numPr>
        <w:adjustRightInd w:val="0"/>
        <w:snapToGrid w:val="0"/>
        <w:spacing w:line="360" w:lineRule="auto"/>
        <w:ind w:firstLine="480" w:firstLineChars="200"/>
        <w:rPr>
          <w:color w:val="auto"/>
          <w:kern w:val="0"/>
          <w:sz w:val="24"/>
          <w:highlight w:val="none"/>
        </w:rPr>
      </w:pPr>
      <w:r>
        <w:rPr>
          <w:color w:val="auto"/>
          <w:kern w:val="0"/>
          <w:sz w:val="24"/>
          <w:highlight w:val="none"/>
        </w:rPr>
        <w:t>系统控制软件的使用、数据采集和存储；</w:t>
      </w:r>
    </w:p>
    <w:p w14:paraId="00DE54AC">
      <w:pPr>
        <w:widowControl/>
        <w:numPr>
          <w:ilvl w:val="0"/>
          <w:numId w:val="3"/>
        </w:numPr>
        <w:adjustRightInd w:val="0"/>
        <w:snapToGrid w:val="0"/>
        <w:spacing w:line="360" w:lineRule="auto"/>
        <w:ind w:firstLine="480" w:firstLineChars="200"/>
        <w:rPr>
          <w:color w:val="auto"/>
          <w:kern w:val="0"/>
          <w:sz w:val="24"/>
          <w:highlight w:val="none"/>
        </w:rPr>
      </w:pPr>
      <w:r>
        <w:rPr>
          <w:color w:val="auto"/>
          <w:kern w:val="0"/>
          <w:sz w:val="24"/>
          <w:highlight w:val="none"/>
        </w:rPr>
        <w:t>从锂铅合金装填到回路惰性气体置换的操作流程，并形成操作规程；</w:t>
      </w:r>
    </w:p>
    <w:p w14:paraId="79D8D2C3">
      <w:pPr>
        <w:widowControl/>
        <w:numPr>
          <w:ilvl w:val="0"/>
          <w:numId w:val="3"/>
        </w:numPr>
        <w:adjustRightInd w:val="0"/>
        <w:snapToGrid w:val="0"/>
        <w:spacing w:line="360" w:lineRule="auto"/>
        <w:ind w:firstLine="480" w:firstLineChars="200"/>
        <w:rPr>
          <w:color w:val="auto"/>
          <w:kern w:val="0"/>
          <w:sz w:val="24"/>
          <w:highlight w:val="none"/>
        </w:rPr>
      </w:pPr>
      <w:r>
        <w:rPr>
          <w:color w:val="auto"/>
          <w:kern w:val="0"/>
          <w:sz w:val="24"/>
          <w:highlight w:val="none"/>
        </w:rPr>
        <w:t>从系统预热、锂铅熔融到额定流量运行的操作流程，并形成操作规程；</w:t>
      </w:r>
    </w:p>
    <w:p w14:paraId="60A34361">
      <w:pPr>
        <w:widowControl/>
        <w:numPr>
          <w:ilvl w:val="0"/>
          <w:numId w:val="3"/>
        </w:numPr>
        <w:adjustRightInd w:val="0"/>
        <w:snapToGrid w:val="0"/>
        <w:spacing w:line="360" w:lineRule="auto"/>
        <w:ind w:firstLine="480" w:firstLineChars="200"/>
        <w:rPr>
          <w:color w:val="auto"/>
          <w:kern w:val="0"/>
          <w:sz w:val="24"/>
          <w:highlight w:val="none"/>
        </w:rPr>
      </w:pPr>
      <w:r>
        <w:rPr>
          <w:color w:val="auto"/>
          <w:kern w:val="0"/>
          <w:sz w:val="24"/>
          <w:highlight w:val="none"/>
        </w:rPr>
        <w:t>运行过程中主回路流量控制、泵出口流量计自动切换、联锁保护的操作流程，并形成操作规程</w:t>
      </w:r>
      <w:r>
        <w:rPr>
          <w:rFonts w:hint="eastAsia"/>
          <w:color w:val="auto"/>
          <w:kern w:val="0"/>
          <w:sz w:val="24"/>
          <w:highlight w:val="none"/>
        </w:rPr>
        <w:t>；</w:t>
      </w:r>
    </w:p>
    <w:p w14:paraId="7B158DE1">
      <w:pPr>
        <w:widowControl/>
        <w:numPr>
          <w:ilvl w:val="0"/>
          <w:numId w:val="3"/>
        </w:numPr>
        <w:adjustRightInd w:val="0"/>
        <w:snapToGrid w:val="0"/>
        <w:spacing w:line="360" w:lineRule="auto"/>
        <w:ind w:firstLine="480" w:firstLineChars="200"/>
        <w:rPr>
          <w:color w:val="auto"/>
          <w:kern w:val="0"/>
          <w:sz w:val="24"/>
          <w:highlight w:val="none"/>
        </w:rPr>
      </w:pPr>
      <w:r>
        <w:rPr>
          <w:color w:val="auto"/>
          <w:kern w:val="0"/>
          <w:sz w:val="24"/>
          <w:highlight w:val="none"/>
        </w:rPr>
        <w:t>过滤器的压差监控、联锁保护、备份启用、滤芯更换的操作流程，并形成操作规程；</w:t>
      </w:r>
    </w:p>
    <w:p w14:paraId="5A6D945D">
      <w:pPr>
        <w:widowControl/>
        <w:numPr>
          <w:ilvl w:val="0"/>
          <w:numId w:val="3"/>
        </w:numPr>
        <w:adjustRightInd w:val="0"/>
        <w:snapToGrid w:val="0"/>
        <w:spacing w:line="360" w:lineRule="auto"/>
        <w:ind w:firstLine="480" w:firstLineChars="200"/>
        <w:rPr>
          <w:color w:val="auto"/>
          <w:kern w:val="0"/>
          <w:sz w:val="24"/>
          <w:highlight w:val="none"/>
        </w:rPr>
      </w:pPr>
      <w:r>
        <w:rPr>
          <w:color w:val="auto"/>
          <w:kern w:val="0"/>
          <w:sz w:val="24"/>
          <w:highlight w:val="none"/>
        </w:rPr>
        <w:t>一些典型故障的处理方案和操作规程。</w:t>
      </w:r>
    </w:p>
    <w:p w14:paraId="6E82D146">
      <w:pPr>
        <w:keepNext/>
        <w:keepLines/>
        <w:adjustRightInd w:val="0"/>
        <w:spacing w:line="300" w:lineRule="auto"/>
        <w:outlineLvl w:val="2"/>
        <w:rPr>
          <w:rFonts w:eastAsia="黑体"/>
          <w:color w:val="auto"/>
          <w:sz w:val="30"/>
          <w:highlight w:val="none"/>
        </w:rPr>
      </w:pPr>
      <w:bookmarkStart w:id="38" w:name="_Toc221784034"/>
      <w:r>
        <w:rPr>
          <w:rFonts w:eastAsia="黑体"/>
          <w:color w:val="auto"/>
          <w:sz w:val="30"/>
          <w:highlight w:val="none"/>
        </w:rPr>
        <w:t>3.3.8 系统测试</w:t>
      </w:r>
      <w:bookmarkEnd w:id="38"/>
    </w:p>
    <w:p w14:paraId="584F95E1">
      <w:pPr>
        <w:widowControl/>
        <w:adjustRightInd w:val="0"/>
        <w:snapToGrid w:val="0"/>
        <w:spacing w:line="360" w:lineRule="auto"/>
        <w:ind w:firstLine="480" w:firstLineChars="200"/>
        <w:rPr>
          <w:color w:val="auto"/>
          <w:kern w:val="0"/>
          <w:sz w:val="24"/>
          <w:highlight w:val="none"/>
        </w:rPr>
      </w:pPr>
      <w:r>
        <w:rPr>
          <w:color w:val="auto"/>
          <w:kern w:val="0"/>
          <w:sz w:val="24"/>
          <w:highlight w:val="none"/>
        </w:rPr>
        <w:t>系统安装完之后，整个系统要通过无损探伤（包括射线检测和渗透检测）、压力检验及气密性检验。</w:t>
      </w:r>
    </w:p>
    <w:p w14:paraId="00E3ABB1">
      <w:pPr>
        <w:widowControl/>
        <w:adjustRightInd w:val="0"/>
        <w:snapToGrid w:val="0"/>
        <w:spacing w:before="280" w:line="360" w:lineRule="auto"/>
        <w:outlineLvl w:val="1"/>
        <w:rPr>
          <w:rFonts w:eastAsia="黑体"/>
          <w:color w:val="auto"/>
          <w:sz w:val="30"/>
          <w:szCs w:val="32"/>
          <w:highlight w:val="none"/>
        </w:rPr>
      </w:pPr>
      <w:bookmarkStart w:id="39" w:name="_Toc221784035"/>
      <w:r>
        <w:rPr>
          <w:rFonts w:eastAsia="黑体"/>
          <w:color w:val="auto"/>
          <w:sz w:val="30"/>
          <w:szCs w:val="32"/>
          <w:highlight w:val="none"/>
        </w:rPr>
        <w:t>3.4 各部分技术指标与要求</w:t>
      </w:r>
      <w:bookmarkEnd w:id="39"/>
    </w:p>
    <w:p w14:paraId="14072BB2">
      <w:pPr>
        <w:keepNext/>
        <w:keepLines/>
        <w:widowControl/>
        <w:adjustRightInd w:val="0"/>
        <w:snapToGrid w:val="0"/>
        <w:spacing w:line="360" w:lineRule="auto"/>
        <w:outlineLvl w:val="2"/>
        <w:rPr>
          <w:rFonts w:eastAsia="黑体"/>
          <w:color w:val="auto"/>
          <w:sz w:val="30"/>
          <w:highlight w:val="none"/>
        </w:rPr>
      </w:pPr>
      <w:bookmarkStart w:id="40" w:name="_Toc221784036"/>
      <w:bookmarkStart w:id="41" w:name="OLE_LINK46"/>
      <w:r>
        <w:rPr>
          <w:rFonts w:eastAsia="黑体"/>
          <w:color w:val="auto"/>
          <w:sz w:val="30"/>
          <w:highlight w:val="none"/>
        </w:rPr>
        <w:t>3.4.1 驱动泵</w:t>
      </w:r>
      <w:bookmarkEnd w:id="40"/>
      <w:bookmarkEnd w:id="41"/>
      <w:r>
        <w:rPr>
          <w:rFonts w:eastAsia="黑体"/>
          <w:color w:val="auto"/>
          <w:sz w:val="30"/>
          <w:highlight w:val="none"/>
        </w:rPr>
        <w:tab/>
      </w:r>
    </w:p>
    <w:p w14:paraId="1DFFB90F">
      <w:pPr>
        <w:widowControl/>
        <w:adjustRightInd w:val="0"/>
        <w:snapToGrid w:val="0"/>
        <w:spacing w:line="360" w:lineRule="auto"/>
        <w:ind w:firstLine="480" w:firstLineChars="200"/>
        <w:rPr>
          <w:color w:val="auto"/>
          <w:kern w:val="0"/>
          <w:sz w:val="24"/>
          <w:highlight w:val="none"/>
        </w:rPr>
      </w:pPr>
      <w:r>
        <w:rPr>
          <w:color w:val="auto"/>
          <w:kern w:val="0"/>
          <w:sz w:val="24"/>
          <w:highlight w:val="none"/>
        </w:rPr>
        <w:t>驱动泵设计须满足以下核心要求：其一，</w:t>
      </w:r>
      <w:r>
        <w:rPr>
          <w:color w:val="auto"/>
          <w:kern w:val="0"/>
          <w:sz w:val="24"/>
          <w:highlight w:val="none"/>
          <w:u w:val="single"/>
        </w:rPr>
        <w:t>具备</w:t>
      </w:r>
      <w:bookmarkStart w:id="42" w:name="_Hlk220228777"/>
      <w:r>
        <w:rPr>
          <w:color w:val="auto"/>
          <w:kern w:val="0"/>
          <w:sz w:val="24"/>
          <w:highlight w:val="none"/>
          <w:u w:val="single"/>
        </w:rPr>
        <w:t>驱动</w:t>
      </w:r>
      <w:bookmarkEnd w:id="42"/>
      <w:r>
        <w:rPr>
          <w:color w:val="auto"/>
          <w:kern w:val="0"/>
          <w:sz w:val="24"/>
          <w:highlight w:val="none"/>
          <w:u w:val="single"/>
        </w:rPr>
        <w:t>实验段1液态锂铅正向与反向流动的能力</w:t>
      </w:r>
      <w:r>
        <w:rPr>
          <w:color w:val="auto"/>
          <w:kern w:val="0"/>
          <w:sz w:val="24"/>
          <w:highlight w:val="none"/>
        </w:rPr>
        <w:t>；其二，扬程设计值须系统考虑实验段压降、回路主管道及各设备压降之和，并考虑充分的设计裕量。</w:t>
      </w:r>
    </w:p>
    <w:p w14:paraId="501C9A55">
      <w:pPr>
        <w:widowControl/>
        <w:numPr>
          <w:ilvl w:val="0"/>
          <w:numId w:val="4"/>
        </w:numPr>
        <w:adjustRightInd w:val="0"/>
        <w:snapToGrid w:val="0"/>
        <w:spacing w:line="360" w:lineRule="auto"/>
        <w:ind w:left="0" w:firstLine="482" w:firstLineChars="200"/>
        <w:rPr>
          <w:b/>
          <w:bCs/>
          <w:color w:val="auto"/>
          <w:kern w:val="0"/>
          <w:sz w:val="24"/>
          <w:highlight w:val="none"/>
        </w:rPr>
      </w:pPr>
      <w:r>
        <w:rPr>
          <w:b/>
          <w:bCs/>
          <w:color w:val="auto"/>
          <w:kern w:val="0"/>
          <w:sz w:val="24"/>
          <w:highlight w:val="none"/>
        </w:rPr>
        <w:t>主要规格参数（建议）如下：</w:t>
      </w:r>
    </w:p>
    <w:p w14:paraId="5C5A102B">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流量要满足上述所提工况要求，扬程裕量充足；</w:t>
      </w:r>
    </w:p>
    <w:p w14:paraId="3786A783">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实际运行温度</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53"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4FFF&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B74FFF&quot; wsp:rsidP=&quot;00B74FFF&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54"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4FFF&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B74FFF&quot; wsp:rsidP=&quot;00B74FFF&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fldChar w:fldCharType="end"/>
      </w:r>
      <w:r>
        <w:rPr>
          <w:color w:val="auto"/>
          <w:kern w:val="0"/>
          <w:sz w:val="24"/>
          <w:highlight w:val="none"/>
        </w:rPr>
        <w:t>380℃，推荐设计温度</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55"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6757&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AE6757&quot; wsp:rsidP=&quot;00AE6757&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56"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6757&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AE6757&quot; wsp:rsidP=&quot;00AE6757&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color w:val="auto"/>
          <w:kern w:val="0"/>
          <w:sz w:val="24"/>
          <w:highlight w:val="none"/>
        </w:rPr>
        <w:fldChar w:fldCharType="end"/>
      </w:r>
      <w:r>
        <w:rPr>
          <w:color w:val="auto"/>
          <w:kern w:val="0"/>
          <w:sz w:val="24"/>
          <w:highlight w:val="none"/>
        </w:rPr>
        <w:t>400℃。</w:t>
      </w:r>
    </w:p>
    <w:p w14:paraId="62BBA82F">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泵空载/堵转保护动作逻辑可靠，触发时间 ≤ 1 s（联锁需要实现快速断电并报警）；</w:t>
      </w:r>
    </w:p>
    <w:p w14:paraId="10FB7C94">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PLC与泵之间的所有联锁与故障处理（低流、冷却不足、过温、过流停机）动作正确；</w:t>
      </w:r>
    </w:p>
    <w:p w14:paraId="7A43D3FE">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电气绝缘：绝缘电阻 ≥ 100 MΩ（按 IEC），耐压试验合格。</w:t>
      </w:r>
    </w:p>
    <w:p w14:paraId="5DA1733B">
      <w:pPr>
        <w:pStyle w:val="5"/>
        <w:widowControl/>
        <w:numPr>
          <w:ilvl w:val="0"/>
          <w:numId w:val="4"/>
        </w:numPr>
        <w:adjustRightInd w:val="0"/>
        <w:snapToGrid w:val="0"/>
        <w:spacing w:line="360" w:lineRule="auto"/>
        <w:ind w:firstLineChars="0"/>
        <w:rPr>
          <w:b/>
          <w:bCs/>
          <w:color w:val="auto"/>
          <w:sz w:val="24"/>
          <w:highlight w:val="none"/>
        </w:rPr>
      </w:pPr>
      <w:r>
        <w:rPr>
          <w:b/>
          <w:bCs/>
          <w:color w:val="auto"/>
          <w:sz w:val="24"/>
          <w:highlight w:val="none"/>
        </w:rPr>
        <w:t>供方需提供以下信息和文件：</w:t>
      </w:r>
    </w:p>
    <w:p w14:paraId="6FA65CCC">
      <w:pPr>
        <w:adjustRightInd w:val="0"/>
        <w:snapToGrid w:val="0"/>
        <w:spacing w:line="360" w:lineRule="auto"/>
        <w:ind w:firstLine="480" w:firstLineChars="200"/>
        <w:rPr>
          <w:color w:val="auto"/>
          <w:sz w:val="24"/>
          <w:highlight w:val="none"/>
        </w:rPr>
      </w:pPr>
      <w:r>
        <w:rPr>
          <w:color w:val="auto"/>
          <w:sz w:val="24"/>
          <w:highlight w:val="none"/>
        </w:rPr>
        <w:t>供方提供</w:t>
      </w:r>
      <w:r>
        <w:rPr>
          <w:rFonts w:hint="eastAsia"/>
          <w:color w:val="auto"/>
          <w:sz w:val="24"/>
          <w:highlight w:val="none"/>
        </w:rPr>
        <w:t>驱动</w:t>
      </w:r>
      <w:r>
        <w:rPr>
          <w:color w:val="auto"/>
          <w:sz w:val="24"/>
          <w:highlight w:val="none"/>
        </w:rPr>
        <w:t>泵：最小连续运行流量</w:t>
      </w:r>
      <w:r>
        <w:rPr>
          <w:i/>
          <w:iCs/>
          <w:color w:val="auto"/>
          <w:sz w:val="24"/>
          <w:highlight w:val="none"/>
        </w:rPr>
        <w:t>Q</w:t>
      </w:r>
      <w:r>
        <w:rPr>
          <w:color w:val="auto"/>
          <w:sz w:val="24"/>
          <w:highlight w:val="none"/>
        </w:rPr>
        <w:t>_min和连续运行最大允许流量</w:t>
      </w:r>
      <w:r>
        <w:rPr>
          <w:i/>
          <w:iCs/>
          <w:color w:val="auto"/>
          <w:sz w:val="24"/>
          <w:highlight w:val="none"/>
        </w:rPr>
        <w:t>Q</w:t>
      </w:r>
      <w:r>
        <w:rPr>
          <w:color w:val="auto"/>
          <w:sz w:val="24"/>
          <w:highlight w:val="none"/>
        </w:rPr>
        <w:t>_max；</w:t>
      </w:r>
    </w:p>
    <w:p w14:paraId="3A1E7587">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供方须提供合理的冷却方式保证泵的安全运行；</w:t>
      </w:r>
    </w:p>
    <w:p w14:paraId="5570975C">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材料证书（EN10204 3.1）与合格证书；</w:t>
      </w:r>
    </w:p>
    <w:p w14:paraId="402F605B">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Winding/coil 绝缘等级说明、冷却系统设计说明；</w:t>
      </w:r>
    </w:p>
    <w:p w14:paraId="69D2B4BA">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操作手册、维护手册、备件清单；</w:t>
      </w:r>
    </w:p>
    <w:p w14:paraId="2F4DF113">
      <w:pPr>
        <w:widowControl/>
        <w:numPr>
          <w:ilvl w:val="0"/>
          <w:numId w:val="5"/>
        </w:numPr>
        <w:adjustRightInd w:val="0"/>
        <w:snapToGrid w:val="0"/>
        <w:spacing w:line="360" w:lineRule="auto"/>
        <w:ind w:left="0" w:firstLine="480" w:firstLineChars="200"/>
        <w:rPr>
          <w:color w:val="auto"/>
          <w:kern w:val="0"/>
          <w:sz w:val="24"/>
          <w:highlight w:val="none"/>
        </w:rPr>
      </w:pPr>
      <w:r>
        <w:rPr>
          <w:color w:val="auto"/>
          <w:kern w:val="0"/>
          <w:sz w:val="24"/>
          <w:highlight w:val="none"/>
        </w:rPr>
        <w:t>测试数据与合格证明；</w:t>
      </w:r>
    </w:p>
    <w:p w14:paraId="7FD17B59">
      <w:pPr>
        <w:keepNext/>
        <w:keepLines/>
        <w:widowControl/>
        <w:adjustRightInd w:val="0"/>
        <w:snapToGrid w:val="0"/>
        <w:spacing w:line="360" w:lineRule="auto"/>
        <w:outlineLvl w:val="2"/>
        <w:rPr>
          <w:rFonts w:eastAsia="黑体"/>
          <w:color w:val="auto"/>
          <w:sz w:val="30"/>
          <w:highlight w:val="none"/>
        </w:rPr>
      </w:pPr>
      <w:bookmarkStart w:id="43" w:name="_Toc221784037"/>
      <w:r>
        <w:rPr>
          <w:rFonts w:eastAsia="黑体"/>
          <w:color w:val="auto"/>
          <w:sz w:val="30"/>
          <w:highlight w:val="none"/>
        </w:rPr>
        <w:t>3.4.2 实验段</w:t>
      </w:r>
      <w:bookmarkEnd w:id="43"/>
    </w:p>
    <w:p w14:paraId="188E763E">
      <w:pPr>
        <w:widowControl/>
        <w:numPr>
          <w:ilvl w:val="0"/>
          <w:numId w:val="6"/>
        </w:numPr>
        <w:adjustRightInd w:val="0"/>
        <w:snapToGrid w:val="0"/>
        <w:spacing w:line="360" w:lineRule="auto"/>
        <w:ind w:firstLine="480" w:firstLineChars="200"/>
        <w:rPr>
          <w:color w:val="auto"/>
          <w:kern w:val="0"/>
          <w:sz w:val="24"/>
          <w:highlight w:val="none"/>
        </w:rPr>
      </w:pPr>
      <w:r>
        <w:rPr>
          <w:color w:val="auto"/>
          <w:kern w:val="0"/>
          <w:sz w:val="24"/>
          <w:highlight w:val="none"/>
        </w:rPr>
        <w:t>实验段1</w:t>
      </w:r>
    </w:p>
    <w:p w14:paraId="0055011F">
      <w:pPr>
        <w:widowControl/>
        <w:numPr>
          <w:ilvl w:val="0"/>
          <w:numId w:val="7"/>
        </w:num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采用</w:t>
      </w:r>
      <w:r>
        <w:rPr>
          <w:color w:val="auto"/>
          <w:kern w:val="0"/>
          <w:sz w:val="24"/>
          <w:highlight w:val="none"/>
        </w:rPr>
        <w:t>圆管代替（316Ti，若用其他材料需与甲方协商），内径30</w:t>
      </w:r>
      <w:r>
        <w:rPr>
          <w:rFonts w:hint="eastAsia"/>
          <w:color w:val="auto"/>
          <w:kern w:val="0"/>
          <w:sz w:val="24"/>
          <w:highlight w:val="none"/>
        </w:rPr>
        <w:t xml:space="preserve"> m</w:t>
      </w:r>
      <w:r>
        <w:rPr>
          <w:color w:val="auto"/>
          <w:kern w:val="0"/>
          <w:sz w:val="24"/>
          <w:highlight w:val="none"/>
        </w:rPr>
        <w:t>m，</w:t>
      </w:r>
      <w:r>
        <w:rPr>
          <w:rFonts w:hint="eastAsia"/>
          <w:color w:val="auto"/>
          <w:kern w:val="0"/>
          <w:sz w:val="24"/>
          <w:highlight w:val="none"/>
        </w:rPr>
        <w:t>长约1.5m，</w:t>
      </w:r>
      <w:r>
        <w:rPr>
          <w:color w:val="auto"/>
          <w:kern w:val="0"/>
          <w:sz w:val="24"/>
          <w:highlight w:val="none"/>
        </w:rPr>
        <w:t>壁厚2-3mm</w:t>
      </w:r>
      <w:r>
        <w:rPr>
          <w:rFonts w:hint="eastAsia"/>
          <w:color w:val="auto"/>
          <w:kern w:val="0"/>
          <w:sz w:val="24"/>
          <w:highlight w:val="none"/>
        </w:rPr>
        <w:t>（属于流动传热实验，</w:t>
      </w:r>
      <w:r>
        <w:rPr>
          <w:rFonts w:hint="eastAsia"/>
          <w:color w:val="auto"/>
          <w:kern w:val="0"/>
          <w:sz w:val="24"/>
          <w:highlight w:val="none"/>
          <w:u w:val="single"/>
        </w:rPr>
        <w:t>短期运行</w:t>
      </w:r>
      <w:r>
        <w:rPr>
          <w:rFonts w:hint="eastAsia"/>
          <w:color w:val="auto"/>
          <w:kern w:val="0"/>
          <w:sz w:val="24"/>
          <w:highlight w:val="none"/>
        </w:rPr>
        <w:t>，壁厚仅供参考，需综合考虑腐蚀余量和结构强度）；</w:t>
      </w:r>
    </w:p>
    <w:p w14:paraId="0F295DFC">
      <w:pPr>
        <w:widowControl/>
        <w:numPr>
          <w:ilvl w:val="0"/>
          <w:numId w:val="6"/>
        </w:numPr>
        <w:adjustRightInd w:val="0"/>
        <w:snapToGrid w:val="0"/>
        <w:spacing w:line="360" w:lineRule="auto"/>
        <w:ind w:firstLine="480" w:firstLineChars="200"/>
        <w:rPr>
          <w:color w:val="auto"/>
          <w:kern w:val="0"/>
          <w:sz w:val="24"/>
          <w:highlight w:val="none"/>
        </w:rPr>
      </w:pPr>
      <w:r>
        <w:rPr>
          <w:color w:val="auto"/>
          <w:kern w:val="0"/>
          <w:sz w:val="24"/>
          <w:highlight w:val="none"/>
        </w:rPr>
        <w:t>实验段2</w:t>
      </w:r>
    </w:p>
    <w:p w14:paraId="2BED6880">
      <w:pPr>
        <w:widowControl/>
        <w:numPr>
          <w:ilvl w:val="0"/>
          <w:numId w:val="8"/>
        </w:numPr>
        <w:adjustRightInd w:val="0"/>
        <w:snapToGrid w:val="0"/>
        <w:spacing w:line="360" w:lineRule="auto"/>
        <w:ind w:firstLine="480" w:firstLineChars="200"/>
        <w:rPr>
          <w:color w:val="auto"/>
          <w:kern w:val="0"/>
          <w:sz w:val="24"/>
          <w:highlight w:val="none"/>
        </w:rPr>
      </w:pPr>
      <w:r>
        <w:rPr>
          <w:color w:val="auto"/>
          <w:kern w:val="0"/>
          <w:sz w:val="24"/>
          <w:highlight w:val="none"/>
        </w:rPr>
        <w:t>圆管（316Ti，若用其他材料需与甲方协商），</w:t>
      </w:r>
      <w:r>
        <w:rPr>
          <w:rFonts w:hint="eastAsia"/>
          <w:color w:val="auto"/>
          <w:kern w:val="0"/>
          <w:sz w:val="24"/>
          <w:highlight w:val="none"/>
        </w:rPr>
        <w:t>内</w:t>
      </w:r>
      <w:r>
        <w:rPr>
          <w:color w:val="auto"/>
          <w:kern w:val="0"/>
          <w:sz w:val="24"/>
          <w:highlight w:val="none"/>
        </w:rPr>
        <w:t>径40.0mm，</w:t>
      </w:r>
      <w:r>
        <w:rPr>
          <w:rFonts w:hint="eastAsia"/>
          <w:color w:val="auto"/>
          <w:kern w:val="0"/>
          <w:sz w:val="24"/>
          <w:highlight w:val="none"/>
        </w:rPr>
        <w:t>长约1.5m，</w:t>
      </w:r>
      <w:r>
        <w:rPr>
          <w:color w:val="auto"/>
          <w:kern w:val="0"/>
          <w:sz w:val="24"/>
          <w:highlight w:val="none"/>
        </w:rPr>
        <w:t>壁厚2-3mm</w:t>
      </w:r>
      <w:r>
        <w:rPr>
          <w:rFonts w:hint="eastAsia"/>
          <w:color w:val="auto"/>
          <w:kern w:val="0"/>
          <w:sz w:val="24"/>
          <w:highlight w:val="none"/>
        </w:rPr>
        <w:t>（属于腐蚀实验，</w:t>
      </w:r>
      <w:r>
        <w:rPr>
          <w:rFonts w:hint="eastAsia"/>
          <w:color w:val="auto"/>
          <w:kern w:val="0"/>
          <w:sz w:val="24"/>
          <w:highlight w:val="none"/>
          <w:u w:val="single"/>
        </w:rPr>
        <w:t>长期运行</w:t>
      </w:r>
      <w:r>
        <w:rPr>
          <w:rFonts w:hint="eastAsia"/>
          <w:color w:val="auto"/>
          <w:kern w:val="0"/>
          <w:sz w:val="24"/>
          <w:highlight w:val="none"/>
        </w:rPr>
        <w:t>，壁厚仅供参考，需综合考虑腐蚀余量和结构强度）；</w:t>
      </w:r>
    </w:p>
    <w:p w14:paraId="58D2C9D1">
      <w:pPr>
        <w:widowControl/>
        <w:numPr>
          <w:ilvl w:val="0"/>
          <w:numId w:val="8"/>
        </w:num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中间区域1m范围内，等间距布置5个热电偶测温；</w:t>
      </w:r>
    </w:p>
    <w:p w14:paraId="3F851F12">
      <w:pPr>
        <w:widowControl/>
        <w:numPr>
          <w:ilvl w:val="0"/>
          <w:numId w:val="8"/>
        </w:numPr>
        <w:adjustRightInd w:val="0"/>
        <w:snapToGrid w:val="0"/>
        <w:spacing w:line="360" w:lineRule="auto"/>
        <w:ind w:firstLine="480" w:firstLineChars="200"/>
        <w:rPr>
          <w:color w:val="auto"/>
          <w:kern w:val="0"/>
          <w:sz w:val="24"/>
          <w:highlight w:val="none"/>
        </w:rPr>
      </w:pPr>
      <w:r>
        <w:rPr>
          <w:color w:val="auto"/>
          <w:kern w:val="0"/>
          <w:sz w:val="24"/>
          <w:highlight w:val="none"/>
        </w:rPr>
        <w:t>实验段2和手套箱接触段要进行冷却，确保手套箱的工作温度不超标；</w:t>
      </w:r>
    </w:p>
    <w:p w14:paraId="0EEE20E0">
      <w:pPr>
        <w:widowControl/>
        <w:numPr>
          <w:ilvl w:val="0"/>
          <w:numId w:val="8"/>
        </w:numPr>
        <w:adjustRightInd w:val="0"/>
        <w:snapToGrid w:val="0"/>
        <w:spacing w:line="360" w:lineRule="auto"/>
        <w:ind w:firstLine="480" w:firstLineChars="200"/>
        <w:rPr>
          <w:color w:val="auto"/>
          <w:kern w:val="0"/>
          <w:sz w:val="24"/>
          <w:highlight w:val="none"/>
        </w:rPr>
      </w:pPr>
      <w:r>
        <w:rPr>
          <w:color w:val="auto"/>
          <w:kern w:val="0"/>
          <w:sz w:val="24"/>
          <w:highlight w:val="none"/>
        </w:rPr>
        <w:t>实验段2也将置于磁场中，需预留磁体安装空间（尺寸甲方提供）；</w:t>
      </w:r>
    </w:p>
    <w:p w14:paraId="1A04A245">
      <w:pPr>
        <w:widowControl/>
        <w:numPr>
          <w:ilvl w:val="0"/>
          <w:numId w:val="8"/>
        </w:numPr>
        <w:adjustRightInd w:val="0"/>
        <w:snapToGrid w:val="0"/>
        <w:spacing w:line="360" w:lineRule="auto"/>
        <w:ind w:firstLine="480" w:firstLineChars="200"/>
        <w:rPr>
          <w:color w:val="auto"/>
          <w:kern w:val="0"/>
          <w:sz w:val="24"/>
          <w:highlight w:val="none"/>
        </w:rPr>
      </w:pPr>
      <w:r>
        <w:rPr>
          <w:color w:val="auto"/>
          <w:kern w:val="0"/>
          <w:sz w:val="24"/>
          <w:highlight w:val="none"/>
        </w:rPr>
        <w:t>预留好与手套箱的接口（甲方提供手套箱并安装）</w:t>
      </w:r>
      <w:r>
        <w:rPr>
          <w:rFonts w:hint="eastAsia"/>
          <w:color w:val="auto"/>
          <w:kern w:val="0"/>
          <w:sz w:val="24"/>
          <w:highlight w:val="none"/>
        </w:rPr>
        <w:t>。</w:t>
      </w:r>
    </w:p>
    <w:p w14:paraId="0ECF14D4">
      <w:pPr>
        <w:keepNext/>
        <w:keepLines/>
        <w:widowControl/>
        <w:adjustRightInd w:val="0"/>
        <w:snapToGrid w:val="0"/>
        <w:spacing w:line="360" w:lineRule="auto"/>
        <w:outlineLvl w:val="2"/>
        <w:rPr>
          <w:rFonts w:eastAsia="黑体"/>
          <w:color w:val="auto"/>
          <w:sz w:val="30"/>
          <w:highlight w:val="none"/>
        </w:rPr>
      </w:pPr>
      <w:r>
        <w:rPr>
          <w:rFonts w:eastAsia="黑体"/>
          <w:color w:val="auto"/>
          <w:sz w:val="30"/>
          <w:highlight w:val="none"/>
        </w:rPr>
        <w:t>3.4.3 实验段与</w:t>
      </w:r>
      <w:r>
        <w:rPr>
          <w:rFonts w:hint="eastAsia" w:eastAsia="黑体"/>
          <w:color w:val="auto"/>
          <w:sz w:val="30"/>
          <w:highlight w:val="none"/>
        </w:rPr>
        <w:t>手套箱</w:t>
      </w:r>
      <w:r>
        <w:rPr>
          <w:rFonts w:eastAsia="黑体"/>
          <w:color w:val="auto"/>
          <w:sz w:val="30"/>
          <w:highlight w:val="none"/>
        </w:rPr>
        <w:t>的接口</w:t>
      </w:r>
    </w:p>
    <w:p w14:paraId="469F189B">
      <w:pPr>
        <w:overflowPunct w:val="0"/>
        <w:adjustRightInd w:val="0"/>
        <w:snapToGrid w:val="0"/>
        <w:spacing w:line="360" w:lineRule="auto"/>
        <w:ind w:firstLine="480" w:firstLineChars="200"/>
        <w:rPr>
          <w:color w:val="auto"/>
          <w:sz w:val="24"/>
          <w:highlight w:val="none"/>
        </w:rPr>
      </w:pPr>
      <w:r>
        <w:rPr>
          <w:color w:val="auto"/>
          <w:sz w:val="24"/>
          <w:highlight w:val="none"/>
        </w:rPr>
        <w:t>手套箱（甲供）用于实验段2在装样、取样与维护过程中的惰性气氛隔离操作与安全防护，保证回路与外界环境隔离，实验回路设计应满足实验段2对接密封、隔热与冷却要求，具体如下：</w:t>
      </w:r>
    </w:p>
    <w:p w14:paraId="3F9F1B19">
      <w:pPr>
        <w:overflowPunct w:val="0"/>
        <w:spacing w:line="360" w:lineRule="auto"/>
        <w:rPr>
          <w:color w:val="auto"/>
          <w:sz w:val="24"/>
          <w:highlight w:val="none"/>
        </w:rPr>
      </w:pPr>
      <w:r>
        <w:rPr>
          <w:color w:val="auto"/>
          <w:sz w:val="24"/>
          <w:highlight w:val="none"/>
        </w:rPr>
        <w:t>1.</w:t>
      </w:r>
      <w:r>
        <w:rPr>
          <w:color w:val="auto"/>
          <w:sz w:val="24"/>
          <w:highlight w:val="none"/>
        </w:rPr>
        <w:tab/>
      </w:r>
      <w:r>
        <w:rPr>
          <w:color w:val="auto"/>
          <w:sz w:val="24"/>
          <w:highlight w:val="none"/>
        </w:rPr>
        <w:t>空间与台架预留</w:t>
      </w:r>
    </w:p>
    <w:p w14:paraId="77BA79D4">
      <w:pPr>
        <w:overflowPunct w:val="0"/>
        <w:spacing w:line="360" w:lineRule="auto"/>
        <w:ind w:firstLine="480"/>
        <w:rPr>
          <w:color w:val="auto"/>
          <w:sz w:val="24"/>
          <w:highlight w:val="none"/>
        </w:rPr>
      </w:pPr>
      <w:r>
        <w:rPr>
          <w:color w:val="auto"/>
          <w:sz w:val="24"/>
          <w:highlight w:val="none"/>
        </w:rPr>
        <w:t>请在回路台架/现场布置中，依据手套箱外形尺寸（箱体尺寸按已提供参数；箱体底部至台面腿长约1.0 m）综合考虑：</w:t>
      </w:r>
    </w:p>
    <w:p w14:paraId="6D4168B5">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手套箱本体、机柜（净化/真空/控制）、过渡舱操作侧；</w:t>
      </w:r>
    </w:p>
    <w:p w14:paraId="4CAF5EA2">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外置循环水冷机及其进出水管线走向与检修空间；</w:t>
      </w:r>
    </w:p>
    <w:p w14:paraId="513E414C">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实验人员站位与操作通道（含过渡舱装卸、手套操作、维护开盖/抽换耗材）；</w:t>
      </w:r>
    </w:p>
    <w:p w14:paraId="0052EC2D">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预留足够安装、操作与检修空间，避免后期因空间不足导致气路/水路/电缆反复改造。</w:t>
      </w:r>
    </w:p>
    <w:p w14:paraId="0A87395B">
      <w:pPr>
        <w:overflowPunct w:val="0"/>
        <w:spacing w:line="360" w:lineRule="auto"/>
        <w:rPr>
          <w:color w:val="auto"/>
          <w:sz w:val="24"/>
          <w:highlight w:val="none"/>
        </w:rPr>
      </w:pPr>
      <w:r>
        <w:rPr>
          <w:color w:val="auto"/>
          <w:sz w:val="24"/>
          <w:highlight w:val="none"/>
        </w:rPr>
        <w:t>2.</w:t>
      </w:r>
      <w:r>
        <w:rPr>
          <w:color w:val="auto"/>
          <w:sz w:val="24"/>
          <w:highlight w:val="none"/>
        </w:rPr>
        <w:tab/>
      </w:r>
      <w:r>
        <w:rPr>
          <w:color w:val="auto"/>
          <w:sz w:val="24"/>
          <w:highlight w:val="none"/>
        </w:rPr>
        <w:t>统一供气介质与供气站接口</w:t>
      </w:r>
    </w:p>
    <w:p w14:paraId="04B20911">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手套箱工作气体建议采用氩气或氮气。氮气成本更低，但需与回路整体气氛控制目标（如氧控策略、材料相容性、混气/再生气等）统一评估后确定。</w:t>
      </w:r>
    </w:p>
    <w:p w14:paraId="4540D962">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请在手套箱机柜附近设置统一供气站（或供气接口点），预留手套箱所需的供气接口与必要的压力调节/截止能力，便于后续安装与维护。</w:t>
      </w:r>
    </w:p>
    <w:p w14:paraId="37BEC59A">
      <w:pPr>
        <w:overflowPunct w:val="0"/>
        <w:spacing w:line="360" w:lineRule="auto"/>
        <w:rPr>
          <w:color w:val="auto"/>
          <w:sz w:val="24"/>
          <w:highlight w:val="none"/>
        </w:rPr>
      </w:pPr>
      <w:r>
        <w:rPr>
          <w:color w:val="auto"/>
          <w:sz w:val="24"/>
          <w:highlight w:val="none"/>
        </w:rPr>
        <w:t>3.</w:t>
      </w:r>
      <w:r>
        <w:rPr>
          <w:color w:val="auto"/>
          <w:sz w:val="24"/>
          <w:highlight w:val="none"/>
        </w:rPr>
        <w:tab/>
      </w:r>
      <w:r>
        <w:rPr>
          <w:color w:val="auto"/>
          <w:sz w:val="24"/>
          <w:highlight w:val="none"/>
        </w:rPr>
        <w:t>与手套箱相关焊接/连接的协调要求</w:t>
      </w:r>
    </w:p>
    <w:p w14:paraId="620F61E7">
      <w:pPr>
        <w:overflowPunct w:val="0"/>
        <w:spacing w:line="360" w:lineRule="auto"/>
        <w:ind w:firstLine="480"/>
        <w:rPr>
          <w:color w:val="auto"/>
          <w:sz w:val="24"/>
          <w:highlight w:val="none"/>
        </w:rPr>
      </w:pPr>
      <w:r>
        <w:rPr>
          <w:color w:val="auto"/>
          <w:sz w:val="24"/>
          <w:highlight w:val="none"/>
        </w:rPr>
        <w:t>回路侧与手套箱相关的管路焊接、切割、支架固定、穿孔/法兰连接等操作，必须在施工前与手套箱供应商进行接口确认与工艺沟通：</w:t>
      </w:r>
    </w:p>
    <w:p w14:paraId="691FC544">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防止因外力、热输入或装配应力造成箱体变形、密封失效；</w:t>
      </w:r>
    </w:p>
    <w:p w14:paraId="225D78BC">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防止对箱体内外的传感器、分析仪、阀件、密封圈造成损坏或失准；</w:t>
      </w:r>
    </w:p>
    <w:p w14:paraId="4DD3D8F5">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接口形式、安装顺序、支撑方式以双方确认的接口图/安装方案为准。</w:t>
      </w:r>
    </w:p>
    <w:p w14:paraId="083200C3">
      <w:pPr>
        <w:overflowPunct w:val="0"/>
        <w:spacing w:line="360" w:lineRule="auto"/>
        <w:rPr>
          <w:color w:val="auto"/>
          <w:sz w:val="24"/>
          <w:highlight w:val="none"/>
        </w:rPr>
      </w:pPr>
      <w:r>
        <w:rPr>
          <w:color w:val="auto"/>
          <w:sz w:val="24"/>
          <w:highlight w:val="none"/>
        </w:rPr>
        <w:t>4.</w:t>
      </w:r>
      <w:r>
        <w:rPr>
          <w:color w:val="auto"/>
          <w:sz w:val="24"/>
          <w:highlight w:val="none"/>
        </w:rPr>
        <w:tab/>
      </w:r>
      <w:r>
        <w:rPr>
          <w:color w:val="auto"/>
          <w:sz w:val="24"/>
          <w:highlight w:val="none"/>
        </w:rPr>
        <w:t>实验段2液位与气路（连通器）设计要求</w:t>
      </w:r>
    </w:p>
    <w:p w14:paraId="50B9F7B9">
      <w:pPr>
        <w:overflowPunct w:val="0"/>
        <w:spacing w:line="360" w:lineRule="auto"/>
        <w:ind w:firstLine="480"/>
        <w:rPr>
          <w:color w:val="auto"/>
          <w:sz w:val="24"/>
          <w:highlight w:val="none"/>
        </w:rPr>
      </w:pPr>
      <w:r>
        <w:rPr>
          <w:color w:val="auto"/>
          <w:sz w:val="24"/>
          <w:highlight w:val="none"/>
        </w:rPr>
        <w:t>为保证实验段2液位控制与运行安全，请回路设计人员重点注意：</w:t>
      </w:r>
    </w:p>
    <w:p w14:paraId="3D2BC686">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液位边界：实验段2的最高液位应低于手套箱底部（避免倒灌/热量传导/安全风险），同时应高于液态金属流出实验段的转弯处液位（保证回路连续性与避免吸气/气塞风险）；</w:t>
      </w:r>
    </w:p>
    <w:p w14:paraId="78E8356C">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气路布置：需在手套箱底板下方的实验段2管道区域布置氩气（或选定惰性气体）气路，用于与该液位体系连通与压力平衡；</w:t>
      </w:r>
    </w:p>
    <w:p w14:paraId="79997316">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液位与温度监测：应配置液位计/液位测点实时监测实验段2液位变化，并满足运行与报警需求。并配置多个热电偶监测实验段的温度，保证温度均匀稳定；</w:t>
      </w:r>
    </w:p>
    <w:p w14:paraId="23919C1A">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连通器连接原则：依据连通器原理，实验段2气路最终应与回路中某一与实验段2液位等高的参考点相连通，实现等压/等液位基准；</w:t>
      </w:r>
    </w:p>
    <w:p w14:paraId="3E078CA3">
      <w:pPr>
        <w:pStyle w:val="5"/>
        <w:widowControl/>
        <w:numPr>
          <w:ilvl w:val="0"/>
          <w:numId w:val="8"/>
        </w:numPr>
        <w:overflowPunct w:val="0"/>
        <w:adjustRightInd w:val="0"/>
        <w:snapToGrid w:val="0"/>
        <w:spacing w:line="360" w:lineRule="auto"/>
        <w:ind w:left="862" w:leftChars="200" w:hanging="442" w:firstLineChars="0"/>
        <w:rPr>
          <w:color w:val="auto"/>
          <w:sz w:val="24"/>
          <w:highlight w:val="none"/>
        </w:rPr>
      </w:pPr>
      <w:r>
        <w:rPr>
          <w:color w:val="auto"/>
          <w:sz w:val="24"/>
          <w:highlight w:val="none"/>
        </w:rPr>
        <w:t>对于锂铅回路，气路通常接至氧控箱对应液位参考位置（以甲方系统方案为准），确保气氛与液位控制一致性。</w:t>
      </w:r>
    </w:p>
    <w:p w14:paraId="103300BD">
      <w:pPr>
        <w:keepNext/>
        <w:keepLines/>
        <w:widowControl/>
        <w:adjustRightInd w:val="0"/>
        <w:snapToGrid w:val="0"/>
        <w:spacing w:line="360" w:lineRule="auto"/>
        <w:outlineLvl w:val="2"/>
        <w:rPr>
          <w:rFonts w:eastAsia="黑体"/>
          <w:color w:val="auto"/>
          <w:sz w:val="30"/>
          <w:highlight w:val="none"/>
        </w:rPr>
      </w:pPr>
      <w:bookmarkStart w:id="44" w:name="_Toc221784038"/>
      <w:r>
        <w:rPr>
          <w:rFonts w:eastAsia="黑体"/>
          <w:color w:val="auto"/>
          <w:sz w:val="30"/>
          <w:highlight w:val="none"/>
        </w:rPr>
        <w:t>3.4.3 实验段与磁体的接口</w:t>
      </w:r>
      <w:bookmarkEnd w:id="44"/>
    </w:p>
    <w:p w14:paraId="1A053BB7">
      <w:pPr>
        <w:widowControl/>
        <w:adjustRightInd w:val="0"/>
        <w:snapToGrid w:val="0"/>
        <w:spacing w:line="360" w:lineRule="auto"/>
        <w:ind w:firstLine="480" w:firstLineChars="200"/>
        <w:rPr>
          <w:color w:val="auto"/>
          <w:kern w:val="0"/>
          <w:sz w:val="24"/>
          <w:highlight w:val="none"/>
        </w:rPr>
      </w:pPr>
      <w:r>
        <w:rPr>
          <w:color w:val="auto"/>
          <w:kern w:val="0"/>
          <w:sz w:val="24"/>
          <w:highlight w:val="none"/>
        </w:rPr>
        <w:t>磁体（总重1t</w:t>
      </w:r>
      <w:r>
        <w:rPr>
          <w:rFonts w:hint="eastAsia"/>
          <w:color w:val="auto"/>
          <w:kern w:val="0"/>
          <w:sz w:val="24"/>
          <w:highlight w:val="none"/>
        </w:rPr>
        <w:t>，甲供</w:t>
      </w:r>
      <w:r>
        <w:rPr>
          <w:color w:val="auto"/>
          <w:kern w:val="0"/>
          <w:sz w:val="24"/>
          <w:highlight w:val="none"/>
        </w:rPr>
        <w:t>）通过导轨在实验段1和实验段2之间滑动。因此，实验段的长度和高度应合适，便于磁体通过滑轨在两个实验段之间切换。实验段在磁场中的长度要求如下图所示：</w:t>
      </w:r>
    </w:p>
    <w:p w14:paraId="783CB103">
      <w:pPr>
        <w:widowControl/>
        <w:adjustRightInd w:val="0"/>
        <w:snapToGrid w:val="0"/>
        <w:spacing w:line="360" w:lineRule="auto"/>
        <w:jc w:val="center"/>
        <w:rPr>
          <w:color w:val="auto"/>
          <w:kern w:val="0"/>
          <w:sz w:val="24"/>
          <w:highlight w:val="none"/>
        </w:rPr>
      </w:pPr>
      <w:r>
        <w:rPr>
          <w:color w:val="auto"/>
          <w:kern w:val="0"/>
          <w:sz w:val="24"/>
          <w:highlight w:val="none"/>
        </w:rPr>
        <w:drawing>
          <wp:inline distT="0" distB="0" distL="114300" distR="114300">
            <wp:extent cx="3589020" cy="2310765"/>
            <wp:effectExtent l="0" t="0" r="7620" b="5715"/>
            <wp:docPr id="1" name="图片 33"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descr="图示, 示意图&#10;&#10;AI 生成的内容可能不正确。"/>
                    <pic:cNvPicPr>
                      <a:picLocks noChangeAspect="1"/>
                    </pic:cNvPicPr>
                  </pic:nvPicPr>
                  <pic:blipFill>
                    <a:blip r:embed="rId15"/>
                    <a:stretch>
                      <a:fillRect/>
                    </a:stretch>
                  </pic:blipFill>
                  <pic:spPr>
                    <a:xfrm>
                      <a:off x="0" y="0"/>
                      <a:ext cx="3589020" cy="2310765"/>
                    </a:xfrm>
                    <a:prstGeom prst="rect">
                      <a:avLst/>
                    </a:prstGeom>
                    <a:noFill/>
                    <a:ln>
                      <a:noFill/>
                    </a:ln>
                  </pic:spPr>
                </pic:pic>
              </a:graphicData>
            </a:graphic>
          </wp:inline>
        </w:drawing>
      </w:r>
    </w:p>
    <w:p w14:paraId="506087E5">
      <w:pPr>
        <w:widowControl/>
        <w:adjustRightInd w:val="0"/>
        <w:snapToGrid w:val="0"/>
        <w:spacing w:line="360" w:lineRule="auto"/>
        <w:rPr>
          <w:color w:val="auto"/>
          <w:kern w:val="0"/>
          <w:sz w:val="24"/>
          <w:highlight w:val="none"/>
        </w:rPr>
      </w:pPr>
      <w:r>
        <w:rPr>
          <w:color w:val="auto"/>
          <w:kern w:val="0"/>
          <w:sz w:val="24"/>
          <w:highlight w:val="none"/>
        </w:rPr>
        <w:t>磁体的尺寸和重量如下：</w:t>
      </w:r>
    </w:p>
    <w:tbl>
      <w:tblPr>
        <w:tblStyle w:val="3"/>
        <w:tblW w:w="0" w:type="auto"/>
        <w:jc w:val="center"/>
        <w:tblLayout w:type="fixed"/>
        <w:tblCellMar>
          <w:top w:w="0" w:type="dxa"/>
          <w:left w:w="108" w:type="dxa"/>
          <w:bottom w:w="0" w:type="dxa"/>
          <w:right w:w="108" w:type="dxa"/>
        </w:tblCellMar>
      </w:tblPr>
      <w:tblGrid>
        <w:gridCol w:w="4248"/>
        <w:gridCol w:w="4048"/>
      </w:tblGrid>
      <w:tr w14:paraId="02935CEE">
        <w:tblPrEx>
          <w:tblCellMar>
            <w:top w:w="0" w:type="dxa"/>
            <w:left w:w="108" w:type="dxa"/>
            <w:bottom w:w="0" w:type="dxa"/>
            <w:right w:w="108" w:type="dxa"/>
          </w:tblCellMar>
        </w:tblPrEx>
        <w:trPr>
          <w:jc w:val="center"/>
        </w:trPr>
        <w:tc>
          <w:tcPr>
            <w:tcW w:w="4248" w:type="dxa"/>
            <w:noWrap w:val="0"/>
            <w:vAlign w:val="top"/>
          </w:tcPr>
          <w:p w14:paraId="5538F5B9">
            <w:pPr>
              <w:widowControl/>
              <w:adjustRightInd w:val="0"/>
              <w:snapToGrid w:val="0"/>
              <w:spacing w:line="360" w:lineRule="auto"/>
              <w:rPr>
                <w:rFonts w:ascii="Calibri" w:hAnsi="Calibri"/>
                <w:color w:val="auto"/>
                <w:kern w:val="0"/>
                <w:sz w:val="24"/>
                <w:highlight w:val="none"/>
              </w:rPr>
            </w:pPr>
            <w:r>
              <w:rPr>
                <w:rFonts w:ascii="Calibri" w:hAnsi="Calibri"/>
                <w:color w:val="auto"/>
                <w:kern w:val="0"/>
                <w:sz w:val="24"/>
                <w:highlight w:val="none"/>
              </w:rPr>
              <w:drawing>
                <wp:inline distT="0" distB="0" distL="114300" distR="114300">
                  <wp:extent cx="2592070" cy="1711960"/>
                  <wp:effectExtent l="0" t="0" r="13970" b="10160"/>
                  <wp:docPr id="3" name="图片 3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图示&#10;&#10;AI 生成的内容可能不正确。"/>
                          <pic:cNvPicPr>
                            <a:picLocks noChangeAspect="1"/>
                          </pic:cNvPicPr>
                        </pic:nvPicPr>
                        <pic:blipFill>
                          <a:blip r:embed="rId16"/>
                          <a:stretch>
                            <a:fillRect/>
                          </a:stretch>
                        </pic:blipFill>
                        <pic:spPr>
                          <a:xfrm>
                            <a:off x="0" y="0"/>
                            <a:ext cx="2592070" cy="1711960"/>
                          </a:xfrm>
                          <a:prstGeom prst="rect">
                            <a:avLst/>
                          </a:prstGeom>
                          <a:noFill/>
                          <a:ln>
                            <a:noFill/>
                          </a:ln>
                        </pic:spPr>
                      </pic:pic>
                    </a:graphicData>
                  </a:graphic>
                </wp:inline>
              </w:drawing>
            </w:r>
          </w:p>
        </w:tc>
        <w:tc>
          <w:tcPr>
            <w:tcW w:w="4048" w:type="dxa"/>
            <w:noWrap w:val="0"/>
            <w:vAlign w:val="center"/>
          </w:tcPr>
          <w:p w14:paraId="51D44A0D">
            <w:pPr>
              <w:widowControl/>
              <w:adjustRightInd w:val="0"/>
              <w:snapToGrid w:val="0"/>
              <w:spacing w:line="360" w:lineRule="auto"/>
              <w:jc w:val="center"/>
              <w:rPr>
                <w:rFonts w:ascii="Calibri" w:hAnsi="Calibri"/>
                <w:color w:val="auto"/>
                <w:kern w:val="0"/>
                <w:sz w:val="24"/>
                <w:highlight w:val="none"/>
              </w:rPr>
            </w:pPr>
            <w:r>
              <w:rPr>
                <w:rFonts w:ascii="Calibri" w:hAnsi="Calibri"/>
                <w:color w:val="auto"/>
                <w:kern w:val="0"/>
                <w:sz w:val="24"/>
                <w:highlight w:val="none"/>
              </w:rPr>
              <w:drawing>
                <wp:inline distT="0" distB="0" distL="114300" distR="114300">
                  <wp:extent cx="2514600" cy="1016635"/>
                  <wp:effectExtent l="0" t="0" r="0" b="4445"/>
                  <wp:docPr id="4" name="图片 3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图示&#10;&#10;AI 生成的内容可能不正确。"/>
                          <pic:cNvPicPr>
                            <a:picLocks noChangeAspect="1"/>
                          </pic:cNvPicPr>
                        </pic:nvPicPr>
                        <pic:blipFill>
                          <a:blip r:embed="rId17"/>
                          <a:stretch>
                            <a:fillRect/>
                          </a:stretch>
                        </pic:blipFill>
                        <pic:spPr>
                          <a:xfrm>
                            <a:off x="0" y="0"/>
                            <a:ext cx="2514600" cy="1016635"/>
                          </a:xfrm>
                          <a:prstGeom prst="rect">
                            <a:avLst/>
                          </a:prstGeom>
                          <a:noFill/>
                          <a:ln>
                            <a:noFill/>
                          </a:ln>
                        </pic:spPr>
                      </pic:pic>
                    </a:graphicData>
                  </a:graphic>
                </wp:inline>
              </w:drawing>
            </w:r>
          </w:p>
        </w:tc>
      </w:tr>
    </w:tbl>
    <w:p w14:paraId="303F4F10">
      <w:pPr>
        <w:widowControl/>
        <w:spacing w:line="360" w:lineRule="auto"/>
        <w:ind w:firstLine="480" w:firstLineChars="200"/>
        <w:rPr>
          <w:color w:val="auto"/>
          <w:kern w:val="0"/>
          <w:sz w:val="24"/>
          <w:highlight w:val="none"/>
        </w:rPr>
      </w:pPr>
      <w:r>
        <w:rPr>
          <w:color w:val="auto"/>
          <w:kern w:val="0"/>
          <w:sz w:val="24"/>
          <w:highlight w:val="none"/>
        </w:rPr>
        <w:t>如以上信息仍然不足，设计时供方需与甲方确定实验段与磁铁的尺寸，预留好磁铁安装的空间和相应接口。</w:t>
      </w:r>
    </w:p>
    <w:p w14:paraId="6288C888">
      <w:pPr>
        <w:keepNext/>
        <w:keepLines/>
        <w:widowControl/>
        <w:adjustRightInd w:val="0"/>
        <w:snapToGrid w:val="0"/>
        <w:spacing w:line="360" w:lineRule="auto"/>
        <w:outlineLvl w:val="2"/>
        <w:rPr>
          <w:rFonts w:eastAsia="黑体"/>
          <w:color w:val="auto"/>
          <w:sz w:val="30"/>
          <w:highlight w:val="none"/>
        </w:rPr>
      </w:pPr>
      <w:bookmarkStart w:id="45" w:name="_Toc221784039"/>
      <w:r>
        <w:rPr>
          <w:rFonts w:eastAsia="黑体"/>
          <w:color w:val="auto"/>
          <w:sz w:val="30"/>
          <w:highlight w:val="none"/>
        </w:rPr>
        <w:t>3.4.4</w:t>
      </w:r>
      <w:r>
        <w:rPr>
          <w:rFonts w:hint="eastAsia" w:eastAsia="黑体"/>
          <w:color w:val="auto"/>
          <w:sz w:val="30"/>
          <w:highlight w:val="none"/>
        </w:rPr>
        <w:t xml:space="preserve"> </w:t>
      </w:r>
      <w:r>
        <w:rPr>
          <w:rFonts w:eastAsia="黑体"/>
          <w:color w:val="auto"/>
          <w:sz w:val="30"/>
          <w:highlight w:val="none"/>
        </w:rPr>
        <w:t>除杂系统</w:t>
      </w:r>
      <w:bookmarkEnd w:id="45"/>
    </w:p>
    <w:p w14:paraId="3B8962B8">
      <w:pPr>
        <w:widowControl/>
        <w:spacing w:line="360" w:lineRule="auto"/>
        <w:ind w:firstLine="480" w:firstLineChars="200"/>
        <w:rPr>
          <w:color w:val="auto"/>
          <w:kern w:val="0"/>
          <w:sz w:val="24"/>
          <w:highlight w:val="none"/>
        </w:rPr>
      </w:pPr>
      <w:r>
        <w:rPr>
          <w:color w:val="auto"/>
          <w:kern w:val="0"/>
          <w:sz w:val="24"/>
          <w:highlight w:val="none"/>
        </w:rPr>
        <w:t>采用滤网+旁通并联方式，规格要求如下：</w:t>
      </w:r>
    </w:p>
    <w:p w14:paraId="0666D005">
      <w:pPr>
        <w:widowControl/>
        <w:numPr>
          <w:ilvl w:val="0"/>
          <w:numId w:val="9"/>
        </w:numPr>
        <w:adjustRightInd w:val="0"/>
        <w:snapToGrid w:val="0"/>
        <w:spacing w:line="360" w:lineRule="auto"/>
        <w:ind w:firstLine="480" w:firstLineChars="200"/>
        <w:rPr>
          <w:color w:val="auto"/>
          <w:kern w:val="0"/>
          <w:sz w:val="24"/>
          <w:highlight w:val="none"/>
        </w:rPr>
      </w:pPr>
      <w:r>
        <w:rPr>
          <w:color w:val="auto"/>
          <w:kern w:val="0"/>
          <w:sz w:val="24"/>
          <w:highlight w:val="none"/>
        </w:rPr>
        <w:t>采用150目滤网方案，滤网置于冷却器之后，采用压差传感器对其压降进行检测。</w:t>
      </w:r>
    </w:p>
    <w:p w14:paraId="3B12543F">
      <w:pPr>
        <w:widowControl/>
        <w:numPr>
          <w:ilvl w:val="0"/>
          <w:numId w:val="9"/>
        </w:num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滤网设计为方便可拆卸，每次运行后拆除更换，供货方提供4个备件。</w:t>
      </w:r>
    </w:p>
    <w:p w14:paraId="7A3A39E4">
      <w:pPr>
        <w:keepNext/>
        <w:keepLines/>
        <w:widowControl/>
        <w:adjustRightInd w:val="0"/>
        <w:snapToGrid w:val="0"/>
        <w:spacing w:line="360" w:lineRule="auto"/>
        <w:outlineLvl w:val="2"/>
        <w:rPr>
          <w:rFonts w:eastAsia="黑体"/>
          <w:color w:val="auto"/>
          <w:sz w:val="30"/>
          <w:highlight w:val="none"/>
        </w:rPr>
      </w:pPr>
      <w:bookmarkStart w:id="46" w:name="_Toc221784040"/>
      <w:r>
        <w:rPr>
          <w:rFonts w:eastAsia="黑体"/>
          <w:color w:val="auto"/>
          <w:sz w:val="30"/>
          <w:highlight w:val="none"/>
        </w:rPr>
        <w:t>3.4.5 气路系统</w:t>
      </w:r>
      <w:bookmarkEnd w:id="46"/>
    </w:p>
    <w:p w14:paraId="1BF7A8FE">
      <w:pPr>
        <w:widowControl/>
        <w:spacing w:line="360" w:lineRule="auto"/>
        <w:ind w:firstLine="480" w:firstLineChars="200"/>
        <w:rPr>
          <w:color w:val="auto"/>
          <w:kern w:val="0"/>
          <w:sz w:val="24"/>
          <w:highlight w:val="none"/>
        </w:rPr>
      </w:pPr>
      <w:r>
        <w:rPr>
          <w:color w:val="auto"/>
          <w:kern w:val="0"/>
          <w:sz w:val="24"/>
          <w:highlight w:val="none"/>
        </w:rPr>
        <w:t>抽真空：往系统充入锂铅之前或者每次实验开始时往回路泵送液态锂铅之前，需充入氩气将锂铅系统置换干净。可通过</w:t>
      </w:r>
      <w:r>
        <w:rPr>
          <w:rFonts w:hint="eastAsia"/>
          <w:color w:val="auto"/>
          <w:kern w:val="0"/>
          <w:sz w:val="24"/>
          <w:highlight w:val="none"/>
        </w:rPr>
        <w:t>“</w:t>
      </w:r>
      <w:r>
        <w:rPr>
          <w:color w:val="auto"/>
          <w:kern w:val="0"/>
          <w:sz w:val="24"/>
          <w:highlight w:val="none"/>
        </w:rPr>
        <w:t>抽真空-充氩气</w:t>
      </w:r>
      <w:r>
        <w:rPr>
          <w:rFonts w:hint="eastAsia"/>
          <w:color w:val="auto"/>
          <w:kern w:val="0"/>
          <w:sz w:val="24"/>
          <w:highlight w:val="none"/>
        </w:rPr>
        <w:t>”</w:t>
      </w:r>
      <w:r>
        <w:rPr>
          <w:color w:val="auto"/>
          <w:kern w:val="0"/>
          <w:sz w:val="24"/>
          <w:highlight w:val="none"/>
        </w:rPr>
        <w:t>反复操作</w:t>
      </w:r>
      <w:r>
        <w:rPr>
          <w:rFonts w:hint="eastAsia"/>
          <w:color w:val="auto"/>
          <w:kern w:val="0"/>
          <w:sz w:val="24"/>
          <w:highlight w:val="none"/>
        </w:rPr>
        <w:t>（3-5次）</w:t>
      </w:r>
    </w:p>
    <w:p w14:paraId="18DA3B16">
      <w:pPr>
        <w:widowControl/>
        <w:spacing w:line="360" w:lineRule="auto"/>
        <w:ind w:firstLine="480" w:firstLineChars="200"/>
        <w:rPr>
          <w:color w:val="auto"/>
          <w:kern w:val="0"/>
          <w:sz w:val="24"/>
          <w:highlight w:val="none"/>
        </w:rPr>
      </w:pPr>
      <w:r>
        <w:rPr>
          <w:color w:val="auto"/>
          <w:kern w:val="0"/>
          <w:sz w:val="24"/>
          <w:highlight w:val="none"/>
        </w:rPr>
        <w:t>覆盖气：锂铅覆盖气是将有气相空间的设备（管道）覆盖惰性气体氩气，使锂铅与空气隔绝，不致锂铅被氧化。运行过程中，需维持覆盖气的气压从微正压至0.8MPa均能操作。锂铅系统有气相空间的设备有锂铅储罐、膨胀罐</w:t>
      </w:r>
      <w:bookmarkStart w:id="47" w:name="OLE_LINK35"/>
      <w:r>
        <w:rPr>
          <w:color w:val="auto"/>
          <w:kern w:val="0"/>
          <w:sz w:val="24"/>
          <w:highlight w:val="none"/>
        </w:rPr>
        <w:t>和实验段2</w:t>
      </w:r>
      <w:bookmarkEnd w:id="47"/>
      <w:r>
        <w:rPr>
          <w:color w:val="auto"/>
          <w:kern w:val="0"/>
          <w:sz w:val="24"/>
          <w:highlight w:val="none"/>
        </w:rPr>
        <w:t>。</w:t>
      </w:r>
    </w:p>
    <w:p w14:paraId="70DD6349">
      <w:pPr>
        <w:keepNext/>
        <w:keepLines/>
        <w:widowControl/>
        <w:adjustRightInd w:val="0"/>
        <w:snapToGrid w:val="0"/>
        <w:spacing w:line="360" w:lineRule="auto"/>
        <w:outlineLvl w:val="2"/>
        <w:rPr>
          <w:rFonts w:eastAsia="黑体"/>
          <w:color w:val="auto"/>
          <w:sz w:val="30"/>
          <w:highlight w:val="none"/>
        </w:rPr>
      </w:pPr>
      <w:bookmarkStart w:id="48" w:name="_Toc221784041"/>
      <w:bookmarkStart w:id="49" w:name="OLE_LINK44"/>
      <w:r>
        <w:rPr>
          <w:rFonts w:eastAsia="黑体"/>
          <w:color w:val="auto"/>
          <w:sz w:val="30"/>
          <w:highlight w:val="none"/>
        </w:rPr>
        <w:t>3.4.6 伴热和温控系统</w:t>
      </w:r>
      <w:bookmarkEnd w:id="48"/>
    </w:p>
    <w:bookmarkEnd w:id="49"/>
    <w:p w14:paraId="6445DB67">
      <w:pPr>
        <w:widowControl/>
        <w:spacing w:line="360" w:lineRule="auto"/>
        <w:ind w:firstLine="480" w:firstLineChars="200"/>
        <w:rPr>
          <w:color w:val="auto"/>
          <w:kern w:val="0"/>
          <w:sz w:val="24"/>
          <w:highlight w:val="none"/>
        </w:rPr>
      </w:pPr>
      <w:r>
        <w:rPr>
          <w:color w:val="auto"/>
          <w:kern w:val="0"/>
          <w:sz w:val="24"/>
          <w:highlight w:val="none"/>
        </w:rPr>
        <w:t>目标：1）能够将锂铅储罐中的固态铅锭加热至融化；2）往回路充入液态锂铅前，能够将回路中所有设备、管道等需要与液态锂铅保持接触的壁面预热至300 ℃；3）回路运行过程中能够一直将回路中所有设备、管道等与液态锂铅接触的壁面保温在280至300℃。</w:t>
      </w:r>
    </w:p>
    <w:p w14:paraId="50205391">
      <w:pPr>
        <w:widowControl/>
        <w:spacing w:line="360" w:lineRule="auto"/>
        <w:ind w:firstLine="480" w:firstLineChars="200"/>
        <w:rPr>
          <w:color w:val="auto"/>
          <w:kern w:val="0"/>
          <w:sz w:val="24"/>
          <w:highlight w:val="none"/>
        </w:rPr>
      </w:pPr>
      <w:r>
        <w:rPr>
          <w:color w:val="auto"/>
          <w:kern w:val="0"/>
          <w:sz w:val="24"/>
          <w:highlight w:val="none"/>
        </w:rPr>
        <w:t>参数要求：</w:t>
      </w:r>
    </w:p>
    <w:p w14:paraId="10DF0D91">
      <w:pPr>
        <w:widowControl/>
        <w:numPr>
          <w:ilvl w:val="0"/>
          <w:numId w:val="10"/>
        </w:numPr>
        <w:spacing w:line="360" w:lineRule="auto"/>
        <w:ind w:left="0" w:firstLine="480" w:firstLineChars="200"/>
        <w:rPr>
          <w:color w:val="auto"/>
          <w:kern w:val="0"/>
          <w:sz w:val="24"/>
          <w:highlight w:val="none"/>
        </w:rPr>
      </w:pPr>
      <w:r>
        <w:rPr>
          <w:color w:val="auto"/>
          <w:kern w:val="0"/>
          <w:sz w:val="24"/>
          <w:highlight w:val="none"/>
        </w:rPr>
        <w:t>设定温度280-350 ℃</w:t>
      </w:r>
    </w:p>
    <w:p w14:paraId="587BAC5C">
      <w:pPr>
        <w:widowControl/>
        <w:numPr>
          <w:ilvl w:val="0"/>
          <w:numId w:val="10"/>
        </w:numPr>
        <w:spacing w:line="360" w:lineRule="auto"/>
        <w:ind w:left="0" w:firstLine="480" w:firstLineChars="200"/>
        <w:rPr>
          <w:color w:val="auto"/>
          <w:kern w:val="0"/>
          <w:sz w:val="24"/>
          <w:highlight w:val="none"/>
        </w:rPr>
      </w:pPr>
      <w:r>
        <w:rPr>
          <w:color w:val="auto"/>
          <w:kern w:val="0"/>
          <w:sz w:val="24"/>
          <w:highlight w:val="none"/>
        </w:rPr>
        <w:t>温控精度（回路稳定度）：</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60"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44CD&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2644CD&quot; wsp:rsidP=&quot;002644CD&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61"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44CD&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2644CD&quot; wsp:rsidP=&quot;002644CD&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color w:val="auto"/>
          <w:kern w:val="0"/>
          <w:sz w:val="24"/>
          <w:highlight w:val="none"/>
        </w:rPr>
        <w:fldChar w:fldCharType="end"/>
      </w:r>
      <w:r>
        <w:rPr>
          <w:color w:val="auto"/>
          <w:kern w:val="0"/>
          <w:sz w:val="24"/>
          <w:highlight w:val="none"/>
        </w:rPr>
        <w:t>2 °C（稳态）</w:t>
      </w:r>
    </w:p>
    <w:p w14:paraId="253546FB">
      <w:pPr>
        <w:widowControl/>
        <w:numPr>
          <w:ilvl w:val="0"/>
          <w:numId w:val="10"/>
        </w:numPr>
        <w:spacing w:line="360" w:lineRule="auto"/>
        <w:ind w:left="0" w:firstLine="480" w:firstLineChars="200"/>
        <w:rPr>
          <w:color w:val="auto"/>
          <w:kern w:val="0"/>
          <w:sz w:val="24"/>
          <w:highlight w:val="none"/>
        </w:rPr>
      </w:pPr>
      <w:r>
        <w:rPr>
          <w:color w:val="auto"/>
          <w:kern w:val="0"/>
          <w:sz w:val="24"/>
          <w:highlight w:val="none"/>
        </w:rPr>
        <w:t>伴热元件连续允许外壳温度 ≥ 400 ℃，短时耐受 ≥ 450 ℃</w:t>
      </w:r>
    </w:p>
    <w:p w14:paraId="60A92AF4">
      <w:pPr>
        <w:widowControl/>
        <w:numPr>
          <w:ilvl w:val="0"/>
          <w:numId w:val="10"/>
        </w:numPr>
        <w:spacing w:line="360" w:lineRule="auto"/>
        <w:ind w:left="0" w:firstLine="480" w:firstLineChars="200"/>
        <w:rPr>
          <w:color w:val="auto"/>
          <w:kern w:val="0"/>
          <w:sz w:val="24"/>
          <w:highlight w:val="none"/>
        </w:rPr>
      </w:pPr>
      <w:r>
        <w:rPr>
          <w:color w:val="auto"/>
          <w:kern w:val="0"/>
          <w:sz w:val="24"/>
          <w:highlight w:val="none"/>
        </w:rPr>
        <w:t>所有伴热件在被绝热并在标称工况下长期运行不发生绝缘破坏或电气击穿；</w:t>
      </w:r>
    </w:p>
    <w:p w14:paraId="17C87F72">
      <w:pPr>
        <w:widowControl/>
        <w:spacing w:line="360" w:lineRule="auto"/>
        <w:rPr>
          <w:iCs/>
          <w:color w:val="auto"/>
          <w:kern w:val="0"/>
          <w:sz w:val="24"/>
          <w:highlight w:val="none"/>
        </w:rPr>
      </w:pPr>
      <w:bookmarkStart w:id="50" w:name="_Toc121557714"/>
    </w:p>
    <w:p w14:paraId="2F7C94F2">
      <w:pPr>
        <w:keepNext/>
        <w:keepLines/>
        <w:widowControl/>
        <w:adjustRightInd w:val="0"/>
        <w:snapToGrid w:val="0"/>
        <w:spacing w:line="360" w:lineRule="auto"/>
        <w:outlineLvl w:val="2"/>
        <w:rPr>
          <w:rFonts w:eastAsia="黑体"/>
          <w:color w:val="auto"/>
          <w:sz w:val="30"/>
          <w:highlight w:val="none"/>
        </w:rPr>
      </w:pPr>
      <w:bookmarkStart w:id="51" w:name="_Toc221784042"/>
      <w:r>
        <w:rPr>
          <w:rFonts w:eastAsia="黑体"/>
          <w:color w:val="auto"/>
          <w:sz w:val="30"/>
          <w:highlight w:val="none"/>
        </w:rPr>
        <w:t>3.4.7 主回路布置</w:t>
      </w:r>
      <w:bookmarkEnd w:id="51"/>
    </w:p>
    <w:p w14:paraId="356BECB4">
      <w:pPr>
        <w:keepNext/>
        <w:keepLines/>
        <w:widowControl/>
        <w:numPr>
          <w:ilvl w:val="0"/>
          <w:numId w:val="11"/>
        </w:numPr>
        <w:adjustRightInd w:val="0"/>
        <w:spacing w:line="36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总体要求</w:t>
      </w:r>
    </w:p>
    <w:p w14:paraId="7E7BE93E">
      <w:pPr>
        <w:widowControl/>
        <w:numPr>
          <w:ilvl w:val="0"/>
          <w:numId w:val="12"/>
        </w:numPr>
        <w:spacing w:line="360" w:lineRule="auto"/>
        <w:ind w:left="0" w:firstLine="480" w:firstLineChars="200"/>
        <w:rPr>
          <w:color w:val="auto"/>
          <w:kern w:val="0"/>
          <w:sz w:val="24"/>
          <w:highlight w:val="none"/>
        </w:rPr>
      </w:pPr>
      <w:r>
        <w:rPr>
          <w:color w:val="auto"/>
          <w:kern w:val="0"/>
          <w:sz w:val="24"/>
          <w:highlight w:val="none"/>
        </w:rPr>
        <w:t>有气相空间设备，如实验段2、膨胀罐液位基本布置在同一高度，降低试验操作难度，气相联通管相连；</w:t>
      </w:r>
    </w:p>
    <w:p w14:paraId="078BF8B6">
      <w:pPr>
        <w:widowControl/>
        <w:numPr>
          <w:ilvl w:val="0"/>
          <w:numId w:val="12"/>
        </w:numPr>
        <w:spacing w:line="360" w:lineRule="auto"/>
        <w:ind w:left="0" w:firstLine="480" w:firstLineChars="200"/>
        <w:rPr>
          <w:color w:val="auto"/>
          <w:kern w:val="0"/>
          <w:sz w:val="24"/>
          <w:highlight w:val="none"/>
        </w:rPr>
      </w:pPr>
      <w:r>
        <w:rPr>
          <w:color w:val="auto"/>
          <w:kern w:val="0"/>
          <w:sz w:val="24"/>
          <w:highlight w:val="none"/>
        </w:rPr>
        <w:t>系统布置按流程走向布置，符合工艺设计意图；</w:t>
      </w:r>
    </w:p>
    <w:p w14:paraId="6BEB8A7B">
      <w:pPr>
        <w:widowControl/>
        <w:numPr>
          <w:ilvl w:val="0"/>
          <w:numId w:val="12"/>
        </w:numPr>
        <w:spacing w:line="360" w:lineRule="auto"/>
        <w:ind w:left="0" w:firstLine="480" w:firstLineChars="200"/>
        <w:rPr>
          <w:color w:val="auto"/>
          <w:kern w:val="0"/>
          <w:sz w:val="24"/>
          <w:highlight w:val="none"/>
        </w:rPr>
      </w:pPr>
      <w:r>
        <w:rPr>
          <w:color w:val="auto"/>
          <w:kern w:val="0"/>
          <w:sz w:val="24"/>
          <w:highlight w:val="none"/>
        </w:rPr>
        <w:t>锂铅水平管道设计一定倾斜度，有利于锂铅排净，本设计采用3°倾斜坡向储罐，尽量避免“液袋”产生；</w:t>
      </w:r>
    </w:p>
    <w:p w14:paraId="4D0C72B4">
      <w:pPr>
        <w:widowControl/>
        <w:numPr>
          <w:ilvl w:val="0"/>
          <w:numId w:val="12"/>
        </w:numPr>
        <w:spacing w:line="360" w:lineRule="auto"/>
        <w:ind w:left="0" w:firstLine="480" w:firstLineChars="200"/>
        <w:rPr>
          <w:color w:val="auto"/>
          <w:kern w:val="0"/>
          <w:sz w:val="24"/>
          <w:highlight w:val="none"/>
        </w:rPr>
      </w:pPr>
      <w:r>
        <w:rPr>
          <w:color w:val="auto"/>
          <w:kern w:val="0"/>
          <w:sz w:val="24"/>
          <w:highlight w:val="none"/>
        </w:rPr>
        <w:t>配置必要的高点排气，使锂铅充满管道和设备；</w:t>
      </w:r>
    </w:p>
    <w:p w14:paraId="3A9B1978">
      <w:pPr>
        <w:widowControl/>
        <w:numPr>
          <w:ilvl w:val="0"/>
          <w:numId w:val="12"/>
        </w:numPr>
        <w:spacing w:line="360" w:lineRule="auto"/>
        <w:ind w:left="0" w:firstLine="480" w:firstLineChars="200"/>
        <w:rPr>
          <w:color w:val="auto"/>
          <w:kern w:val="0"/>
          <w:sz w:val="24"/>
          <w:highlight w:val="none"/>
        </w:rPr>
      </w:pPr>
      <w:r>
        <w:rPr>
          <w:color w:val="auto"/>
          <w:kern w:val="0"/>
          <w:sz w:val="24"/>
          <w:highlight w:val="none"/>
        </w:rPr>
        <w:t>配置必要的低点排净，使锂铅顺利排出。</w:t>
      </w:r>
    </w:p>
    <w:p w14:paraId="51EB04DF">
      <w:pPr>
        <w:widowControl/>
        <w:numPr>
          <w:ilvl w:val="0"/>
          <w:numId w:val="12"/>
        </w:numPr>
        <w:spacing w:line="360" w:lineRule="auto"/>
        <w:ind w:left="0" w:firstLine="480" w:firstLineChars="200"/>
        <w:rPr>
          <w:color w:val="auto"/>
          <w:kern w:val="0"/>
          <w:sz w:val="24"/>
          <w:highlight w:val="none"/>
        </w:rPr>
      </w:pPr>
      <w:r>
        <w:rPr>
          <w:color w:val="auto"/>
          <w:kern w:val="0"/>
          <w:sz w:val="24"/>
          <w:highlight w:val="none"/>
        </w:rPr>
        <w:t>固定和支架。为保证运行时管道由于高差锂铅对底部弯头的冲击， 在存在高差的立管底部弯头4D距离处设置固定或导向支架，解决由于介质由于高差影响对底部弯头产生冲击导致的管道系统晃动的问题， 必要时采用弹簧减震支架或阻尼器。</w:t>
      </w:r>
    </w:p>
    <w:p w14:paraId="1CCAA5EE">
      <w:pPr>
        <w:widowControl/>
        <w:numPr>
          <w:ilvl w:val="0"/>
          <w:numId w:val="12"/>
        </w:numPr>
        <w:spacing w:line="360" w:lineRule="auto"/>
        <w:ind w:left="0" w:firstLine="480" w:firstLineChars="200"/>
        <w:rPr>
          <w:color w:val="auto"/>
          <w:kern w:val="0"/>
          <w:sz w:val="24"/>
          <w:highlight w:val="none"/>
        </w:rPr>
      </w:pPr>
      <w:r>
        <w:rPr>
          <w:color w:val="auto"/>
          <w:kern w:val="0"/>
          <w:sz w:val="24"/>
          <w:highlight w:val="none"/>
        </w:rPr>
        <w:t>磁体重量1.282吨，支架称重能力要考虑将来磁体的安装。</w:t>
      </w:r>
    </w:p>
    <w:p w14:paraId="7F22669F">
      <w:pPr>
        <w:widowControl/>
        <w:numPr>
          <w:ilvl w:val="0"/>
          <w:numId w:val="12"/>
        </w:numPr>
        <w:overflowPunct w:val="0"/>
        <w:spacing w:line="360" w:lineRule="auto"/>
        <w:ind w:left="0" w:firstLine="480" w:firstLineChars="200"/>
        <w:rPr>
          <w:color w:val="auto"/>
          <w:kern w:val="0"/>
          <w:sz w:val="24"/>
          <w:highlight w:val="none"/>
        </w:rPr>
      </w:pPr>
      <w:r>
        <w:rPr>
          <w:color w:val="auto"/>
          <w:kern w:val="0"/>
          <w:sz w:val="24"/>
          <w:highlight w:val="none"/>
        </w:rPr>
        <w:t>阀门高度。阀门的阀杆中心线和仪表的安装高度在地面或平台以上 0.75 至 1.8m 的范围，位置过高或过低时设平台或操作装置，如链轮或伸长杆等以便于操作。极少数不经常操作的阀，且其操作高度离地面不大于 2.5m， 又不便另设永久性平台时， 采用便携梯或移动式平台使人能够操作。</w:t>
      </w:r>
    </w:p>
    <w:p w14:paraId="712420A2">
      <w:pPr>
        <w:widowControl/>
        <w:spacing w:line="360" w:lineRule="auto"/>
        <w:jc w:val="right"/>
        <w:rPr>
          <w:color w:val="auto"/>
          <w:kern w:val="0"/>
          <w:sz w:val="24"/>
          <w:highlight w:val="none"/>
        </w:rPr>
      </w:pPr>
      <w:r>
        <w:rPr>
          <w:color w:val="auto"/>
          <w:kern w:val="0"/>
          <w:sz w:val="24"/>
          <w:highlight w:val="none"/>
        </w:rPr>
        <w:drawing>
          <wp:inline distT="0" distB="0" distL="114300" distR="114300">
            <wp:extent cx="4810125" cy="2509520"/>
            <wp:effectExtent l="0" t="0" r="5715" b="5080"/>
            <wp:docPr id="2" name="图片 38"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图示&#10;&#10;AI 生成的内容可能不正确。"/>
                    <pic:cNvPicPr>
                      <a:picLocks noChangeAspect="1"/>
                    </pic:cNvPicPr>
                  </pic:nvPicPr>
                  <pic:blipFill>
                    <a:blip r:embed="rId19"/>
                    <a:stretch>
                      <a:fillRect/>
                    </a:stretch>
                  </pic:blipFill>
                  <pic:spPr>
                    <a:xfrm>
                      <a:off x="0" y="0"/>
                      <a:ext cx="4810125" cy="2509520"/>
                    </a:xfrm>
                    <a:prstGeom prst="rect">
                      <a:avLst/>
                    </a:prstGeom>
                    <a:noFill/>
                    <a:ln>
                      <a:noFill/>
                    </a:ln>
                  </pic:spPr>
                </pic:pic>
              </a:graphicData>
            </a:graphic>
          </wp:inline>
        </w:drawing>
      </w:r>
    </w:p>
    <w:p w14:paraId="22682744">
      <w:pPr>
        <w:keepNext/>
        <w:keepLines/>
        <w:widowControl/>
        <w:numPr>
          <w:ilvl w:val="0"/>
          <w:numId w:val="11"/>
        </w:numPr>
        <w:adjustRightInd w:val="0"/>
        <w:spacing w:before="120" w:line="36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管道焊接</w:t>
      </w:r>
    </w:p>
    <w:p w14:paraId="5E54D1A0">
      <w:pPr>
        <w:widowControl/>
        <w:spacing w:line="360" w:lineRule="auto"/>
        <w:ind w:firstLine="480"/>
        <w:rPr>
          <w:color w:val="auto"/>
          <w:kern w:val="0"/>
          <w:sz w:val="24"/>
          <w:highlight w:val="none"/>
        </w:rPr>
      </w:pPr>
      <w:r>
        <w:rPr>
          <w:color w:val="auto"/>
          <w:kern w:val="0"/>
          <w:sz w:val="24"/>
          <w:highlight w:val="none"/>
        </w:rPr>
        <w:t>管道焊接。采用合适的管道焊接方式，除了满足工艺需求，还应保证管道内部清洁，减少焊渣进入管道。</w:t>
      </w:r>
    </w:p>
    <w:p w14:paraId="7A6857CC">
      <w:pPr>
        <w:keepNext/>
        <w:keepLines/>
        <w:widowControl/>
        <w:numPr>
          <w:ilvl w:val="0"/>
          <w:numId w:val="11"/>
        </w:numPr>
        <w:adjustRightInd w:val="0"/>
        <w:spacing w:before="120" w:line="36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系统保温/绝热</w:t>
      </w:r>
    </w:p>
    <w:p w14:paraId="2B1D1B5D">
      <w:pPr>
        <w:widowControl/>
        <w:spacing w:line="360" w:lineRule="auto"/>
        <w:ind w:firstLine="480"/>
        <w:rPr>
          <w:color w:val="auto"/>
          <w:kern w:val="0"/>
          <w:sz w:val="24"/>
          <w:highlight w:val="none"/>
        </w:rPr>
      </w:pPr>
      <w:r>
        <w:rPr>
          <w:color w:val="auto"/>
          <w:kern w:val="0"/>
          <w:sz w:val="24"/>
          <w:highlight w:val="none"/>
        </w:rPr>
        <w:t>管道保温应选用经济实用的保温材料（如硅酸盐制品），保证系统正常运行时保温层外表面不高于 60℃。管道或设备外壁温度相同时，保温层外表面温度也应相同（温差在</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63" o:spt="75" type="#_x0000_t75" style="height:13.9pt;width:2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5777F&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E5777F&quot; wsp:rsidP=&quot;00E5777F&quot;&gt;&lt;m:oMathPara&gt;&lt;m:oMath&gt;&lt;m:r&gt;&lt;w:rPr&gt;&lt;w:rFonts w:ascii=&quot;Cambria Math&quot; w:h-ansi=&quot;Cambria Math&quot;/&gt;&lt;wx:font wx:val=&quot;Cambria Math&quot;/&gt;&lt;w:i/&gt;&lt;w:kern w:val=&quot;0&quot;/&gt;&lt;w:sz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0"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64" o:spt="75" type="#_x0000_t75" style="height:13.9pt;width:2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5777F&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E5777F&quot; wsp:rsidP=&quot;00E5777F&quot;&gt;&lt;m:oMathPara&gt;&lt;m:oMath&gt;&lt;m:r&gt;&lt;w:rPr&gt;&lt;w:rFonts w:ascii=&quot;Cambria Math&quot; w:h-ansi=&quot;Cambria Math&quot;/&gt;&lt;wx:font wx:val=&quot;Cambria Math&quot;/&gt;&lt;w:i/&gt;&lt;w:kern w:val=&quot;0&quot;/&gt;&lt;w:sz w:val=&quot;24&quot;/&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0" chromakey="#FFFFFF" o:title=""/>
            <o:lock v:ext="edit" aspectratio="t"/>
            <w10:wrap type="none"/>
            <w10:anchorlock/>
          </v:shape>
        </w:pict>
      </w:r>
      <w:r>
        <w:rPr>
          <w:color w:val="auto"/>
          <w:kern w:val="0"/>
          <w:sz w:val="24"/>
          <w:highlight w:val="none"/>
        </w:rPr>
        <w:fldChar w:fldCharType="end"/>
      </w:r>
      <w:r>
        <w:rPr>
          <w:color w:val="auto"/>
          <w:kern w:val="0"/>
          <w:sz w:val="24"/>
          <w:highlight w:val="none"/>
        </w:rPr>
        <w:t>以内）。实验段1加保温材料的厚度应考虑磁场区域的尺寸（90mm）限制，若在满足外表面温度的前提下尺寸超标，需选用更高效的保温绝热材料，如气凝胶、多孔硅。</w:t>
      </w:r>
      <w:r>
        <w:rPr>
          <w:color w:val="auto"/>
          <w:kern w:val="0"/>
          <w:sz w:val="24"/>
          <w:highlight w:val="none"/>
        </w:rPr>
        <w:tab/>
      </w:r>
      <w:r>
        <w:rPr>
          <w:color w:val="auto"/>
          <w:kern w:val="0"/>
          <w:sz w:val="24"/>
          <w:highlight w:val="none"/>
        </w:rPr>
        <w:t>支架、人孔、法兰、焊缝及阀门应采用合适的热保温方式（比如单壁面保温或双壁面保温），便于运行期间的检查和滤芯更换，或者定期检查维修、调整。</w:t>
      </w:r>
    </w:p>
    <w:p w14:paraId="7E6257F9">
      <w:pPr>
        <w:keepNext/>
        <w:keepLines/>
        <w:widowControl/>
        <w:numPr>
          <w:ilvl w:val="0"/>
          <w:numId w:val="11"/>
        </w:numPr>
        <w:adjustRightInd w:val="0"/>
        <w:spacing w:before="120" w:line="36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油漆</w:t>
      </w:r>
    </w:p>
    <w:p w14:paraId="71D85CBB">
      <w:pPr>
        <w:widowControl/>
        <w:spacing w:line="360" w:lineRule="auto"/>
        <w:ind w:firstLine="480"/>
        <w:rPr>
          <w:color w:val="auto"/>
          <w:kern w:val="0"/>
          <w:sz w:val="24"/>
          <w:highlight w:val="none"/>
        </w:rPr>
      </w:pPr>
      <w:r>
        <w:rPr>
          <w:color w:val="auto"/>
          <w:kern w:val="0"/>
          <w:sz w:val="24"/>
          <w:highlight w:val="none"/>
        </w:rPr>
        <w:t>管道支架及根部、设备支撑梁等在涂漆前应做合适的表面处理，参照规范《涂覆涂料前钢材表面处理表面清洁度的目视评定第1部分：未涂覆过的钢材表面和全面清除原有涂层后的钢材表面的锈蚀等级和处理等级》GB/T8923.1-2011。</w:t>
      </w:r>
    </w:p>
    <w:p w14:paraId="030AEB2F">
      <w:pPr>
        <w:widowControl/>
        <w:spacing w:line="360" w:lineRule="auto"/>
        <w:ind w:firstLine="480"/>
        <w:rPr>
          <w:color w:val="auto"/>
          <w:kern w:val="0"/>
          <w:sz w:val="24"/>
          <w:highlight w:val="none"/>
        </w:rPr>
      </w:pPr>
      <w:r>
        <w:rPr>
          <w:color w:val="auto"/>
          <w:kern w:val="0"/>
          <w:sz w:val="24"/>
          <w:highlight w:val="none"/>
        </w:rPr>
        <w:t>针对不同部件及其功能，依据环境腐蚀等级以及使用年限，参照规范《化工设备管道外防腐设计规范》HG/T20679-2014 中附录B“常用防腐蚀涂料配套方案”，选择合适的油漆。</w:t>
      </w:r>
    </w:p>
    <w:p w14:paraId="4CF0F560">
      <w:pPr>
        <w:widowControl/>
        <w:spacing w:line="360" w:lineRule="auto"/>
        <w:ind w:firstLine="480"/>
        <w:rPr>
          <w:color w:val="auto"/>
          <w:kern w:val="0"/>
          <w:sz w:val="24"/>
          <w:highlight w:val="none"/>
        </w:rPr>
      </w:pPr>
      <w:r>
        <w:rPr>
          <w:color w:val="auto"/>
          <w:kern w:val="0"/>
          <w:sz w:val="24"/>
          <w:highlight w:val="none"/>
        </w:rPr>
        <w:t>涂料的选用应符合国家环保与安全法规的有关要求，并应选择固体组分高、挥发性有机物（VOC）含量低的环保型涂料 VOC含量、有害溶剂含量及有害重金属含量符合《石油化工设备和管道涂料防腐蚀设计标准》（SH/T3022-2019）附录A的规定。</w:t>
      </w:r>
    </w:p>
    <w:p w14:paraId="14B4BD66">
      <w:pPr>
        <w:widowControl/>
        <w:spacing w:line="360" w:lineRule="auto"/>
        <w:rPr>
          <w:color w:val="auto"/>
          <w:kern w:val="0"/>
          <w:sz w:val="24"/>
          <w:highlight w:val="none"/>
        </w:rPr>
      </w:pPr>
    </w:p>
    <w:p w14:paraId="4CE64D94">
      <w:pPr>
        <w:keepNext/>
        <w:keepLines/>
        <w:adjustRightInd w:val="0"/>
        <w:spacing w:line="300" w:lineRule="auto"/>
        <w:outlineLvl w:val="2"/>
        <w:rPr>
          <w:rFonts w:eastAsia="黑体"/>
          <w:color w:val="auto"/>
          <w:sz w:val="30"/>
          <w:highlight w:val="none"/>
        </w:rPr>
      </w:pPr>
      <w:bookmarkStart w:id="52" w:name="_Toc221784043"/>
      <w:r>
        <w:rPr>
          <w:rFonts w:eastAsia="黑体"/>
          <w:color w:val="auto"/>
          <w:sz w:val="30"/>
          <w:highlight w:val="none"/>
        </w:rPr>
        <w:t>3.4.8 电气部分</w:t>
      </w:r>
      <w:bookmarkEnd w:id="52"/>
    </w:p>
    <w:p w14:paraId="67502040">
      <w:pPr>
        <w:keepNext/>
        <w:keepLines/>
        <w:adjustRightInd w:val="0"/>
        <w:spacing w:before="200" w:line="300" w:lineRule="auto"/>
        <w:outlineLvl w:val="3"/>
        <w:rPr>
          <w:rFonts w:eastAsia="黑体"/>
          <w:bCs/>
          <w:color w:val="auto"/>
          <w:sz w:val="28"/>
          <w:szCs w:val="28"/>
          <w:highlight w:val="none"/>
        </w:rPr>
      </w:pPr>
      <w:r>
        <w:rPr>
          <w:rFonts w:eastAsia="黑体"/>
          <w:bCs/>
          <w:color w:val="auto"/>
          <w:sz w:val="28"/>
          <w:szCs w:val="28"/>
          <w:highlight w:val="none"/>
        </w:rPr>
        <w:t>电缆选型及线路敷设</w:t>
      </w:r>
    </w:p>
    <w:p w14:paraId="020AE12F">
      <w:pPr>
        <w:widowControl/>
        <w:spacing w:line="360" w:lineRule="auto"/>
        <w:ind w:firstLine="480" w:firstLineChars="200"/>
        <w:rPr>
          <w:color w:val="auto"/>
          <w:kern w:val="0"/>
          <w:sz w:val="24"/>
          <w:highlight w:val="none"/>
        </w:rPr>
      </w:pPr>
      <w:r>
        <w:rPr>
          <w:color w:val="auto"/>
          <w:kern w:val="0"/>
          <w:sz w:val="24"/>
          <w:highlight w:val="none"/>
        </w:rPr>
        <w:t>供电电缆选用阻燃交联聚乙烯绝缘护套电力电缆，动力电缆选用ZR-YJV系列电缆，电缆规格依据最终用电负荷选择。</w:t>
      </w:r>
    </w:p>
    <w:p w14:paraId="1421B608">
      <w:pPr>
        <w:widowControl/>
        <w:spacing w:line="360" w:lineRule="auto"/>
        <w:ind w:firstLine="480" w:firstLineChars="200"/>
        <w:rPr>
          <w:color w:val="auto"/>
          <w:kern w:val="0"/>
          <w:sz w:val="24"/>
          <w:highlight w:val="none"/>
        </w:rPr>
      </w:pPr>
      <w:r>
        <w:rPr>
          <w:color w:val="auto"/>
          <w:kern w:val="0"/>
          <w:sz w:val="24"/>
          <w:highlight w:val="none"/>
        </w:rPr>
        <w:t>配电柜至用电设备的电缆以电缆桥架敷设为主，局部穿管敷设。控制电缆与动力电缆分开敷设，预防动力电缆对控制系统产生干扰，提高系统的电磁兼容性。</w:t>
      </w:r>
    </w:p>
    <w:p w14:paraId="4FEB012A">
      <w:pPr>
        <w:keepNext/>
        <w:keepLines/>
        <w:adjustRightInd w:val="0"/>
        <w:spacing w:before="200" w:line="300" w:lineRule="auto"/>
        <w:outlineLvl w:val="3"/>
        <w:rPr>
          <w:rFonts w:eastAsia="黑体"/>
          <w:bCs/>
          <w:color w:val="auto"/>
          <w:sz w:val="28"/>
          <w:szCs w:val="28"/>
          <w:highlight w:val="none"/>
        </w:rPr>
      </w:pPr>
      <w:r>
        <w:rPr>
          <w:rFonts w:eastAsia="黑体"/>
          <w:bCs/>
          <w:color w:val="auto"/>
          <w:sz w:val="28"/>
          <w:szCs w:val="28"/>
          <w:highlight w:val="none"/>
        </w:rPr>
        <w:t>接地系统设计</w:t>
      </w:r>
    </w:p>
    <w:p w14:paraId="46650E33">
      <w:pPr>
        <w:widowControl/>
        <w:spacing w:line="360" w:lineRule="auto"/>
        <w:ind w:firstLine="480" w:firstLineChars="200"/>
        <w:rPr>
          <w:color w:val="auto"/>
          <w:kern w:val="0"/>
          <w:sz w:val="24"/>
          <w:highlight w:val="none"/>
        </w:rPr>
      </w:pPr>
      <w:r>
        <w:rPr>
          <w:color w:val="auto"/>
          <w:kern w:val="0"/>
          <w:sz w:val="24"/>
          <w:highlight w:val="none"/>
        </w:rPr>
        <w:t>本项目防静电接地、工作接地及电气设备保护接地共用接地网，接地电阻不大于4Ω，如达不到要求，补打接地极；</w:t>
      </w:r>
    </w:p>
    <w:p w14:paraId="30992B33">
      <w:pPr>
        <w:widowControl/>
        <w:spacing w:line="360" w:lineRule="auto"/>
        <w:ind w:firstLine="480" w:firstLineChars="200"/>
        <w:rPr>
          <w:color w:val="auto"/>
          <w:kern w:val="0"/>
          <w:sz w:val="24"/>
          <w:highlight w:val="none"/>
        </w:rPr>
      </w:pPr>
      <w:r>
        <w:rPr>
          <w:color w:val="auto"/>
          <w:kern w:val="0"/>
          <w:sz w:val="24"/>
          <w:highlight w:val="none"/>
        </w:rPr>
        <w:t>采用等电位接地系统，本项目所有电气设备如：电机、电气箱/柜、电缆桥架、工艺设备等均做可靠接地。试验台架接地网采用40×4mm镀锌扁钢接至厂房等电位接地点（两点接地）。</w:t>
      </w:r>
    </w:p>
    <w:p w14:paraId="727E9FD3">
      <w:pPr>
        <w:widowControl/>
        <w:spacing w:line="360" w:lineRule="auto"/>
        <w:rPr>
          <w:color w:val="auto"/>
          <w:kern w:val="0"/>
          <w:sz w:val="24"/>
          <w:highlight w:val="none"/>
        </w:rPr>
      </w:pPr>
    </w:p>
    <w:p w14:paraId="7E0EC5E8">
      <w:pPr>
        <w:keepNext/>
        <w:keepLines/>
        <w:adjustRightInd w:val="0"/>
        <w:spacing w:line="300" w:lineRule="auto"/>
        <w:outlineLvl w:val="2"/>
        <w:rPr>
          <w:rFonts w:eastAsia="黑体"/>
          <w:color w:val="auto"/>
          <w:sz w:val="30"/>
          <w:highlight w:val="none"/>
        </w:rPr>
      </w:pPr>
      <w:bookmarkStart w:id="53" w:name="_Toc221784044"/>
      <w:r>
        <w:rPr>
          <w:rFonts w:eastAsia="黑体"/>
          <w:color w:val="auto"/>
          <w:sz w:val="30"/>
          <w:highlight w:val="none"/>
        </w:rPr>
        <w:t>3.4.9 参数测量与仪表</w:t>
      </w:r>
      <w:bookmarkEnd w:id="53"/>
    </w:p>
    <w:p w14:paraId="64C75F4E">
      <w:pPr>
        <w:widowControl/>
        <w:spacing w:line="360" w:lineRule="auto"/>
        <w:ind w:firstLine="480" w:firstLineChars="200"/>
        <w:rPr>
          <w:color w:val="auto"/>
          <w:kern w:val="0"/>
          <w:sz w:val="24"/>
          <w:highlight w:val="none"/>
        </w:rPr>
      </w:pPr>
      <w:r>
        <w:rPr>
          <w:color w:val="auto"/>
          <w:kern w:val="0"/>
          <w:sz w:val="24"/>
          <w:highlight w:val="none"/>
        </w:rPr>
        <w:t>所有传感器和仪表产品需为全新原件，质保期不少于12个月（自验收合格之日起开始计算）。</w:t>
      </w:r>
    </w:p>
    <w:p w14:paraId="75BAA7C9">
      <w:pPr>
        <w:keepNext/>
        <w:keepLines/>
        <w:widowControl/>
        <w:numPr>
          <w:ilvl w:val="0"/>
          <w:numId w:val="13"/>
        </w:numPr>
        <w:adjustRightInd w:val="0"/>
        <w:spacing w:before="120" w:line="30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流量测量</w:t>
      </w:r>
    </w:p>
    <w:p w14:paraId="550E054A">
      <w:pPr>
        <w:widowControl/>
        <w:spacing w:line="360" w:lineRule="auto"/>
        <w:ind w:firstLine="200"/>
        <w:rPr>
          <w:color w:val="auto"/>
          <w:kern w:val="0"/>
          <w:sz w:val="24"/>
          <w:highlight w:val="none"/>
        </w:rPr>
      </w:pPr>
      <w:r>
        <w:rPr>
          <w:color w:val="auto"/>
          <w:kern w:val="0"/>
          <w:sz w:val="24"/>
          <w:highlight w:val="none"/>
        </w:rPr>
        <w:t>要求测量时量程范围要合适。参数要求如下：</w:t>
      </w:r>
    </w:p>
    <w:p w14:paraId="6D0A580D">
      <w:pPr>
        <w:widowControl/>
        <w:numPr>
          <w:ilvl w:val="0"/>
          <w:numId w:val="14"/>
        </w:numPr>
        <w:spacing w:line="360" w:lineRule="auto"/>
        <w:ind w:left="0" w:firstLine="480" w:firstLineChars="200"/>
        <w:rPr>
          <w:color w:val="auto"/>
          <w:kern w:val="0"/>
          <w:sz w:val="24"/>
          <w:highlight w:val="none"/>
        </w:rPr>
      </w:pPr>
      <w:r>
        <w:rPr>
          <w:color w:val="auto"/>
          <w:kern w:val="0"/>
          <w:sz w:val="24"/>
          <w:highlight w:val="none"/>
        </w:rPr>
        <w:t>材质：耐液态锂铅合金（</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65"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5D7B&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995D7B&quot; wsp:rsidP=&quot;00995D7B&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66"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5D7B&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995D7B&quot; wsp:rsidP=&quot;00995D7B&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4" chromakey="#FFFFFF" o:title=""/>
            <o:lock v:ext="edit" aspectratio="t"/>
            <w10:wrap type="none"/>
            <w10:anchorlock/>
          </v:shape>
        </w:pict>
      </w:r>
      <w:r>
        <w:rPr>
          <w:color w:val="auto"/>
          <w:kern w:val="0"/>
          <w:sz w:val="24"/>
          <w:highlight w:val="none"/>
        </w:rPr>
        <w:fldChar w:fldCharType="end"/>
      </w:r>
      <w:r>
        <w:rPr>
          <w:color w:val="auto"/>
          <w:kern w:val="0"/>
          <w:sz w:val="24"/>
          <w:highlight w:val="none"/>
        </w:rPr>
        <w:t>400℃）腐蚀</w:t>
      </w:r>
    </w:p>
    <w:p w14:paraId="00179A40">
      <w:pPr>
        <w:widowControl/>
        <w:numPr>
          <w:ilvl w:val="0"/>
          <w:numId w:val="14"/>
        </w:numPr>
        <w:spacing w:line="360" w:lineRule="auto"/>
        <w:ind w:left="0" w:firstLine="480" w:firstLineChars="200"/>
        <w:rPr>
          <w:color w:val="auto"/>
          <w:kern w:val="0"/>
          <w:sz w:val="24"/>
          <w:highlight w:val="none"/>
        </w:rPr>
      </w:pPr>
      <w:r>
        <w:rPr>
          <w:color w:val="auto"/>
          <w:kern w:val="0"/>
          <w:sz w:val="24"/>
          <w:highlight w:val="none"/>
        </w:rPr>
        <w:t>设计压力：1.5MPa</w:t>
      </w:r>
    </w:p>
    <w:p w14:paraId="0DBDDBC5">
      <w:pPr>
        <w:widowControl/>
        <w:numPr>
          <w:ilvl w:val="0"/>
          <w:numId w:val="14"/>
        </w:numPr>
        <w:spacing w:line="360" w:lineRule="auto"/>
        <w:ind w:left="0" w:firstLine="480" w:firstLineChars="200"/>
        <w:rPr>
          <w:color w:val="auto"/>
          <w:kern w:val="0"/>
          <w:sz w:val="24"/>
          <w:highlight w:val="none"/>
        </w:rPr>
      </w:pPr>
      <w:r>
        <w:rPr>
          <w:color w:val="auto"/>
          <w:kern w:val="0"/>
          <w:sz w:val="24"/>
          <w:highlight w:val="none"/>
        </w:rPr>
        <w:t>设计温度：</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67"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2A6B&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062A6B&quot; wsp:rsidP=&quot;00062A6B&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68" o:spt="75" type="#_x0000_t75" style="height:13.9pt;width:9.1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2A6B&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062A6B&quot; wsp:rsidP=&quot;00062A6B&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color w:val="auto"/>
          <w:kern w:val="0"/>
          <w:sz w:val="24"/>
          <w:highlight w:val="none"/>
        </w:rPr>
        <w:fldChar w:fldCharType="end"/>
      </w:r>
      <w:r>
        <w:rPr>
          <w:color w:val="auto"/>
          <w:kern w:val="0"/>
          <w:sz w:val="24"/>
          <w:highlight w:val="none"/>
        </w:rPr>
        <w:t>400℃</w:t>
      </w:r>
    </w:p>
    <w:p w14:paraId="2C42E517">
      <w:pPr>
        <w:widowControl/>
        <w:numPr>
          <w:ilvl w:val="0"/>
          <w:numId w:val="14"/>
        </w:numPr>
        <w:spacing w:line="360" w:lineRule="auto"/>
        <w:ind w:left="0" w:firstLine="480" w:firstLineChars="200"/>
        <w:rPr>
          <w:color w:val="auto"/>
          <w:kern w:val="0"/>
          <w:sz w:val="24"/>
          <w:highlight w:val="none"/>
        </w:rPr>
      </w:pPr>
      <w:r>
        <w:rPr>
          <w:color w:val="auto"/>
          <w:kern w:val="0"/>
          <w:sz w:val="24"/>
          <w:highlight w:val="none"/>
        </w:rPr>
        <w:t>实际工作温度：280～400℃</w:t>
      </w:r>
    </w:p>
    <w:p w14:paraId="4989534A">
      <w:pPr>
        <w:widowControl/>
        <w:numPr>
          <w:ilvl w:val="0"/>
          <w:numId w:val="14"/>
        </w:numPr>
        <w:spacing w:line="360" w:lineRule="auto"/>
        <w:ind w:left="0" w:firstLine="480" w:firstLineChars="200"/>
        <w:rPr>
          <w:color w:val="auto"/>
          <w:kern w:val="0"/>
          <w:sz w:val="24"/>
          <w:highlight w:val="none"/>
        </w:rPr>
      </w:pPr>
      <w:r>
        <w:rPr>
          <w:color w:val="auto"/>
          <w:kern w:val="0"/>
          <w:sz w:val="24"/>
          <w:highlight w:val="none"/>
        </w:rPr>
        <w:t>实际工作流量：0.045 m</w:t>
      </w:r>
      <w:r>
        <w:rPr>
          <w:color w:val="auto"/>
          <w:kern w:val="0"/>
          <w:sz w:val="24"/>
          <w:highlight w:val="none"/>
          <w:vertAlign w:val="superscript"/>
        </w:rPr>
        <w:t>3</w:t>
      </w:r>
      <w:r>
        <w:rPr>
          <w:color w:val="auto"/>
          <w:kern w:val="0"/>
          <w:sz w:val="24"/>
          <w:highlight w:val="none"/>
        </w:rPr>
        <w:t>/h～2.05 m</w:t>
      </w:r>
      <w:r>
        <w:rPr>
          <w:color w:val="auto"/>
          <w:kern w:val="0"/>
          <w:sz w:val="24"/>
          <w:highlight w:val="none"/>
          <w:vertAlign w:val="superscript"/>
        </w:rPr>
        <w:t>3</w:t>
      </w:r>
      <w:r>
        <w:rPr>
          <w:color w:val="auto"/>
          <w:kern w:val="0"/>
          <w:sz w:val="24"/>
          <w:highlight w:val="none"/>
        </w:rPr>
        <w:t>/h（TBD）</w:t>
      </w:r>
    </w:p>
    <w:p w14:paraId="7C570F61">
      <w:pPr>
        <w:widowControl/>
        <w:numPr>
          <w:ilvl w:val="0"/>
          <w:numId w:val="14"/>
        </w:numPr>
        <w:spacing w:line="360" w:lineRule="auto"/>
        <w:ind w:left="0" w:firstLine="480" w:firstLineChars="200"/>
        <w:rPr>
          <w:color w:val="auto"/>
          <w:kern w:val="0"/>
          <w:sz w:val="24"/>
          <w:highlight w:val="none"/>
        </w:rPr>
      </w:pPr>
      <w:bookmarkStart w:id="54" w:name="OLE_LINK39"/>
      <w:r>
        <w:rPr>
          <w:color w:val="auto"/>
          <w:kern w:val="0"/>
          <w:sz w:val="24"/>
          <w:highlight w:val="none"/>
        </w:rPr>
        <w:t>测量</w:t>
      </w:r>
      <w:bookmarkEnd w:id="54"/>
      <w:r>
        <w:rPr>
          <w:color w:val="auto"/>
          <w:kern w:val="0"/>
          <w:sz w:val="24"/>
          <w:highlight w:val="none"/>
        </w:rPr>
        <w:t>精度：1.5% FS</w:t>
      </w:r>
    </w:p>
    <w:p w14:paraId="3190A059">
      <w:pPr>
        <w:widowControl/>
        <w:numPr>
          <w:ilvl w:val="0"/>
          <w:numId w:val="14"/>
        </w:numPr>
        <w:spacing w:line="360" w:lineRule="auto"/>
        <w:ind w:left="0" w:firstLine="480" w:firstLineChars="200"/>
        <w:rPr>
          <w:color w:val="auto"/>
          <w:kern w:val="0"/>
          <w:sz w:val="24"/>
          <w:highlight w:val="none"/>
        </w:rPr>
      </w:pPr>
      <w:r>
        <w:rPr>
          <w:color w:val="auto"/>
          <w:kern w:val="0"/>
          <w:sz w:val="24"/>
          <w:highlight w:val="none"/>
        </w:rPr>
        <w:t>位置：泵出口采用</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69" o:spt="75" type="#_x0000_t75" style="height:13.9pt;width:18.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69C&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54269C&quot; wsp:rsidP=&quot;0054269C&quot;&gt;&lt;m:oMathPara&gt;&lt;m:oMath&gt;&lt;m:r&gt;&lt;w:rPr&gt;&lt;w:rFonts w:ascii=&quot;Cambria Math&quot; w:h-ansi=&quot;Cambria Math&quot;/&gt;&lt;wx:font wx:val=&quot;Cambria Math&quot;/&gt;&lt;w:i/&gt;&lt;w:kern w:val=&quot;0&quot;/&gt;&lt;w:sz w:val=&quot;24&quot;/&gt;&lt;/w:rPr&gt;&lt;m:t&g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1"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70" o:spt="75" type="#_x0000_t75" style="height:13.9pt;width:18.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69C&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54269C&quot; wsp:rsidP=&quot;0054269C&quot;&gt;&lt;m:oMathPara&gt;&lt;m:oMath&gt;&lt;m:r&gt;&lt;w:rPr&gt;&lt;w:rFonts w:ascii=&quot;Cambria Math&quot; w:h-ansi=&quot;Cambria Math&quot;/&gt;&lt;wx:font wx:val=&quot;Cambria Math&quot;/&gt;&lt;w:i/&gt;&lt;w:kern w:val=&quot;0&quot;/&gt;&lt;w:sz w:val=&quot;24&quot;/&gt;&lt;/w:rPr&gt;&lt;m:t&g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1" chromakey="#FFFFFF" o:title=""/>
            <o:lock v:ext="edit" aspectratio="t"/>
            <w10:wrap type="none"/>
            <w10:anchorlock/>
          </v:shape>
        </w:pict>
      </w:r>
      <w:r>
        <w:rPr>
          <w:color w:val="auto"/>
          <w:kern w:val="0"/>
          <w:sz w:val="24"/>
          <w:highlight w:val="none"/>
        </w:rPr>
        <w:fldChar w:fldCharType="end"/>
      </w:r>
      <w:r>
        <w:rPr>
          <w:color w:val="auto"/>
          <w:kern w:val="0"/>
          <w:sz w:val="24"/>
          <w:highlight w:val="none"/>
        </w:rPr>
        <w:t>个不同量程的并联流量计，根据主回路流量大小自动切换至合适的流量计，使实际流量落在流量计的量程之内。</w:t>
      </w:r>
    </w:p>
    <w:p w14:paraId="7091CE10">
      <w:pPr>
        <w:keepNext/>
        <w:keepLines/>
        <w:widowControl/>
        <w:numPr>
          <w:ilvl w:val="0"/>
          <w:numId w:val="13"/>
        </w:numPr>
        <w:adjustRightInd w:val="0"/>
        <w:spacing w:before="200" w:line="30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温度测量</w:t>
      </w:r>
    </w:p>
    <w:p w14:paraId="7FEFCCFD">
      <w:pPr>
        <w:widowControl/>
        <w:spacing w:line="360" w:lineRule="auto"/>
        <w:ind w:firstLine="480" w:firstLineChars="200"/>
        <w:rPr>
          <w:color w:val="auto"/>
          <w:kern w:val="0"/>
          <w:sz w:val="24"/>
          <w:highlight w:val="none"/>
        </w:rPr>
      </w:pPr>
      <w:r>
        <w:rPr>
          <w:color w:val="auto"/>
          <w:kern w:val="0"/>
          <w:sz w:val="24"/>
          <w:highlight w:val="none"/>
        </w:rPr>
        <w:t>温度测量分两类：管/设备壁温测量以及流体介质温度。管道/设备壁温测量对象包含所有设备，采用贴壁热电偶，推荐方式为</w:t>
      </w:r>
      <w:bookmarkStart w:id="55" w:name="OLE_LINK42"/>
      <w:r>
        <w:rPr>
          <w:color w:val="auto"/>
          <w:kern w:val="0"/>
          <w:sz w:val="24"/>
          <w:highlight w:val="none"/>
        </w:rPr>
        <w:t>K型铠装热电偶</w:t>
      </w:r>
      <w:bookmarkEnd w:id="55"/>
      <w:r>
        <w:rPr>
          <w:color w:val="auto"/>
          <w:kern w:val="0"/>
          <w:sz w:val="24"/>
          <w:highlight w:val="none"/>
        </w:rPr>
        <w:t>，工业一级，采用不锈钢贴片进行固定；对于液态金属锂铅温度的测量，推荐采用插入式K型热电偶，铠装绝缘式，工业一级，护套直径</w:t>
      </w:r>
      <w:r>
        <w:rPr>
          <w:color w:val="auto"/>
          <w:kern w:val="0"/>
          <w:sz w:val="24"/>
          <w:highlight w:val="none"/>
        </w:rPr>
        <w:fldChar w:fldCharType="begin"/>
      </w:r>
      <w:r>
        <w:rPr>
          <w:color w:val="auto"/>
          <w:kern w:val="0"/>
          <w:sz w:val="24"/>
          <w:highlight w:val="none"/>
        </w:rPr>
        <w:instrText xml:space="preserve"> QUOTE </w:instrText>
      </w:r>
      <w:r>
        <w:rPr>
          <w:color w:val="auto"/>
          <w:position w:val="-5"/>
          <w:highlight w:val="none"/>
        </w:rPr>
        <w:pict>
          <v:shape id="_x0000_i1071" o:spt="75" type="#_x0000_t75" style="height:13.9pt;width:7.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9D7&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C249D7&quot; wsp:rsidP=&quot;00C249D7&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2" chromakey="#FFFFFF" o:title=""/>
            <o:lock v:ext="edit" aspectratio="t"/>
            <w10:wrap type="none"/>
            <w10:anchorlock/>
          </v:shape>
        </w:pict>
      </w:r>
      <w:r>
        <w:rPr>
          <w:color w:val="auto"/>
          <w:kern w:val="0"/>
          <w:sz w:val="24"/>
          <w:highlight w:val="none"/>
        </w:rPr>
        <w:instrText xml:space="preserve"> </w:instrText>
      </w:r>
      <w:r>
        <w:rPr>
          <w:color w:val="auto"/>
          <w:kern w:val="0"/>
          <w:sz w:val="24"/>
          <w:highlight w:val="none"/>
        </w:rPr>
        <w:fldChar w:fldCharType="separate"/>
      </w:r>
      <w:r>
        <w:rPr>
          <w:color w:val="auto"/>
          <w:position w:val="-5"/>
          <w:highlight w:val="none"/>
        </w:rPr>
        <w:pict>
          <v:shape id="_x0000_i1072" o:spt="75" type="#_x0000_t75" style="height:13.9pt;width:7.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footnotePr&gt;&lt;w:numFmt w:val=&quot;decimal-enclosed-circle-chinese&quot;/&gt;&lt;w:numRestart w:val=&quot;each-page&quot;/&gt;&lt;/w:foot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B62&quot;/&gt;&lt;wsp:rsid wsp:val=&quot;000015DE&quot;/&gt;&lt;wsp:rsid wsp:val=&quot;00003E42&quot;/&gt;&lt;wsp:rsid wsp:val=&quot;0000515D&quot;/&gt;&lt;wsp:rsid wsp:val=&quot;000051EC&quot;/&gt;&lt;wsp:rsid wsp:val=&quot;00005E04&quot;/&gt;&lt;wsp:rsid wsp:val=&quot;0000746E&quot;/&gt;&lt;wsp:rsid wsp:val=&quot;00010114&quot;/&gt;&lt;wsp:rsid wsp:val=&quot;0001038B&quot;/&gt;&lt;wsp:rsid wsp:val=&quot;00010EBE&quot;/&gt;&lt;wsp:rsid wsp:val=&quot;00010F47&quot;/&gt;&lt;wsp:rsid wsp:val=&quot;000112BE&quot;/&gt;&lt;wsp:rsid wsp:val=&quot;00011378&quot;/&gt;&lt;wsp:rsid wsp:val=&quot;000124DF&quot;/&gt;&lt;wsp:rsid wsp:val=&quot;00012FFE&quot;/&gt;&lt;wsp:rsid wsp:val=&quot;00013B67&quot;/&gt;&lt;wsp:rsid wsp:val=&quot;0001454A&quot;/&gt;&lt;wsp:rsid wsp:val=&quot;000155DE&quot;/&gt;&lt;wsp:rsid wsp:val=&quot;00016B16&quot;/&gt;&lt;wsp:rsid wsp:val=&quot;00020481&quot;/&gt;&lt;wsp:rsid wsp:val=&quot;000207CF&quot;/&gt;&lt;wsp:rsid wsp:val=&quot;000218DB&quot;/&gt;&lt;wsp:rsid wsp:val=&quot;00023307&quot;/&gt;&lt;wsp:rsid wsp:val=&quot;0002356B&quot;/&gt;&lt;wsp:rsid wsp:val=&quot;000246C1&quot;/&gt;&lt;wsp:rsid wsp:val=&quot;00024F3F&quot;/&gt;&lt;wsp:rsid wsp:val=&quot;000255A6&quot;/&gt;&lt;wsp:rsid wsp:val=&quot;00025A74&quot;/&gt;&lt;wsp:rsid wsp:val=&quot;00026830&quot;/&gt;&lt;wsp:rsid wsp:val=&quot;0002748A&quot;/&gt;&lt;wsp:rsid wsp:val=&quot;0002784F&quot;/&gt;&lt;wsp:rsid wsp:val=&quot;00031C00&quot;/&gt;&lt;wsp:rsid wsp:val=&quot;00032599&quot;/&gt;&lt;wsp:rsid wsp:val=&quot;0003297D&quot;/&gt;&lt;wsp:rsid wsp:val=&quot;0003324A&quot;/&gt;&lt;wsp:rsid wsp:val=&quot;00033736&quot;/&gt;&lt;wsp:rsid wsp:val=&quot;00034B9D&quot;/&gt;&lt;wsp:rsid wsp:val=&quot;00034CC5&quot;/&gt;&lt;wsp:rsid wsp:val=&quot;000375C2&quot;/&gt;&lt;wsp:rsid wsp:val=&quot;00037C3C&quot;/&gt;&lt;wsp:rsid wsp:val=&quot;00041449&quot;/&gt;&lt;wsp:rsid wsp:val=&quot;0004245A&quot;/&gt;&lt;wsp:rsid wsp:val=&quot;000427C4&quot;/&gt;&lt;wsp:rsid wsp:val=&quot;00042C11&quot;/&gt;&lt;wsp:rsid wsp:val=&quot;000439A3&quot;/&gt;&lt;wsp:rsid wsp:val=&quot;00043D27&quot;/&gt;&lt;wsp:rsid wsp:val=&quot;00043E94&quot;/&gt;&lt;wsp:rsid wsp:val=&quot;00044A5A&quot;/&gt;&lt;wsp:rsid wsp:val=&quot;00044F8E&quot;/&gt;&lt;wsp:rsid wsp:val=&quot;000468B6&quot;/&gt;&lt;wsp:rsid wsp:val=&quot;000473AB&quot;/&gt;&lt;wsp:rsid wsp:val=&quot;0005058F&quot;/&gt;&lt;wsp:rsid wsp:val=&quot;00050D28&quot;/&gt;&lt;wsp:rsid wsp:val=&quot;00052113&quot;/&gt;&lt;wsp:rsid wsp:val=&quot;000521C3&quot;/&gt;&lt;wsp:rsid wsp:val=&quot;00053E8B&quot;/&gt;&lt;wsp:rsid wsp:val=&quot;000547D3&quot;/&gt;&lt;wsp:rsid wsp:val=&quot;00054E5C&quot;/&gt;&lt;wsp:rsid wsp:val=&quot;000576A7&quot;/&gt;&lt;wsp:rsid wsp:val=&quot;00057923&quot;/&gt;&lt;wsp:rsid wsp:val=&quot;00060A4A&quot;/&gt;&lt;wsp:rsid wsp:val=&quot;00063723&quot;/&gt;&lt;wsp:rsid wsp:val=&quot;00064B9A&quot;/&gt;&lt;wsp:rsid wsp:val=&quot;00065650&quot;/&gt;&lt;wsp:rsid wsp:val=&quot;0006576D&quot;/&gt;&lt;wsp:rsid wsp:val=&quot;00065B69&quot;/&gt;&lt;wsp:rsid wsp:val=&quot;000701EC&quot;/&gt;&lt;wsp:rsid wsp:val=&quot;00070A25&quot;/&gt;&lt;wsp:rsid wsp:val=&quot;00071105&quot;/&gt;&lt;wsp:rsid wsp:val=&quot;00073AF9&quot;/&gt;&lt;wsp:rsid wsp:val=&quot;000748E1&quot;/&gt;&lt;wsp:rsid wsp:val=&quot;00074DF9&quot;/&gt;&lt;wsp:rsid wsp:val=&quot;00075412&quot;/&gt;&lt;wsp:rsid wsp:val=&quot;00075935&quot;/&gt;&lt;wsp:rsid wsp:val=&quot;000761BE&quot;/&gt;&lt;wsp:rsid wsp:val=&quot;000771E7&quot;/&gt;&lt;wsp:rsid wsp:val=&quot;000772D3&quot;/&gt;&lt;wsp:rsid wsp:val=&quot;00077482&quot;/&gt;&lt;wsp:rsid wsp:val=&quot;00081489&quot;/&gt;&lt;wsp:rsid wsp:val=&quot;000816E1&quot;/&gt;&lt;wsp:rsid wsp:val=&quot;00083268&quot;/&gt;&lt;wsp:rsid wsp:val=&quot;0008541F&quot;/&gt;&lt;wsp:rsid wsp:val=&quot;00085A09&quot;/&gt;&lt;wsp:rsid wsp:val=&quot;00086467&quot;/&gt;&lt;wsp:rsid wsp:val=&quot;000866CD&quot;/&gt;&lt;wsp:rsid wsp:val=&quot;0009034D&quot;/&gt;&lt;wsp:rsid wsp:val=&quot;00090E07&quot;/&gt;&lt;wsp:rsid wsp:val=&quot;000916C1&quot;/&gt;&lt;wsp:rsid wsp:val=&quot;000926FB&quot;/&gt;&lt;wsp:rsid wsp:val=&quot;00094F75&quot;/&gt;&lt;wsp:rsid wsp:val=&quot;00096107&quot;/&gt;&lt;wsp:rsid wsp:val=&quot;000976ED&quot;/&gt;&lt;wsp:rsid wsp:val=&quot;00097DC6&quot;/&gt;&lt;wsp:rsid wsp:val=&quot;000A0020&quot;/&gt;&lt;wsp:rsid wsp:val=&quot;000A0F60&quot;/&gt;&lt;wsp:rsid wsp:val=&quot;000A128E&quot;/&gt;&lt;wsp:rsid wsp:val=&quot;000A12FF&quot;/&gt;&lt;wsp:rsid wsp:val=&quot;000A16B8&quot;/&gt;&lt;wsp:rsid wsp:val=&quot;000A3B07&quot;/&gt;&lt;wsp:rsid wsp:val=&quot;000A3D79&quot;/&gt;&lt;wsp:rsid wsp:val=&quot;000A5BF7&quot;/&gt;&lt;wsp:rsid wsp:val=&quot;000A5C0C&quot;/&gt;&lt;wsp:rsid wsp:val=&quot;000A61DD&quot;/&gt;&lt;wsp:rsid wsp:val=&quot;000A6FC0&quot;/&gt;&lt;wsp:rsid wsp:val=&quot;000A70D0&quot;/&gt;&lt;wsp:rsid wsp:val=&quot;000A77EE&quot;/&gt;&lt;wsp:rsid wsp:val=&quot;000A79DD&quot;/&gt;&lt;wsp:rsid wsp:val=&quot;000A7DC5&quot;/&gt;&lt;wsp:rsid wsp:val=&quot;000B0316&quot;/&gt;&lt;wsp:rsid wsp:val=&quot;000B0EE4&quot;/&gt;&lt;wsp:rsid wsp:val=&quot;000B1B53&quot;/&gt;&lt;wsp:rsid wsp:val=&quot;000B257E&quot;/&gt;&lt;wsp:rsid wsp:val=&quot;000B2CA3&quot;/&gt;&lt;wsp:rsid wsp:val=&quot;000B46DA&quot;/&gt;&lt;wsp:rsid wsp:val=&quot;000C0ECE&quot;/&gt;&lt;wsp:rsid wsp:val=&quot;000C1F95&quot;/&gt;&lt;wsp:rsid wsp:val=&quot;000C2B47&quot;/&gt;&lt;wsp:rsid wsp:val=&quot;000C5A16&quot;/&gt;&lt;wsp:rsid wsp:val=&quot;000C5D50&quot;/&gt;&lt;wsp:rsid wsp:val=&quot;000C611A&quot;/&gt;&lt;wsp:rsid wsp:val=&quot;000C7096&quot;/&gt;&lt;wsp:rsid wsp:val=&quot;000C7736&quot;/&gt;&lt;wsp:rsid wsp:val=&quot;000D279E&quot;/&gt;&lt;wsp:rsid wsp:val=&quot;000D3FE0&quot;/&gt;&lt;wsp:rsid wsp:val=&quot;000D4E5D&quot;/&gt;&lt;wsp:rsid wsp:val=&quot;000D7B48&quot;/&gt;&lt;wsp:rsid wsp:val=&quot;000E11B8&quot;/&gt;&lt;wsp:rsid wsp:val=&quot;000E1BEF&quot;/&gt;&lt;wsp:rsid wsp:val=&quot;000E21BD&quot;/&gt;&lt;wsp:rsid wsp:val=&quot;000E4AD6&quot;/&gt;&lt;wsp:rsid wsp:val=&quot;000E5ADA&quot;/&gt;&lt;wsp:rsid wsp:val=&quot;000E6D50&quot;/&gt;&lt;wsp:rsid wsp:val=&quot;000E7B82&quot;/&gt;&lt;wsp:rsid wsp:val=&quot;000F01D6&quot;/&gt;&lt;wsp:rsid wsp:val=&quot;000F0D8B&quot;/&gt;&lt;wsp:rsid wsp:val=&quot;000F2ED8&quot;/&gt;&lt;wsp:rsid wsp:val=&quot;000F2F23&quot;/&gt;&lt;wsp:rsid wsp:val=&quot;000F4ADB&quot;/&gt;&lt;wsp:rsid wsp:val=&quot;000F584F&quot;/&gt;&lt;wsp:rsid wsp:val=&quot;000F7880&quot;/&gt;&lt;wsp:rsid wsp:val=&quot;000F7E56&quot;/&gt;&lt;wsp:rsid wsp:val=&quot;00100120&quot;/&gt;&lt;wsp:rsid wsp:val=&quot;001025EA&quot;/&gt;&lt;wsp:rsid wsp:val=&quot;00104CEA&quot;/&gt;&lt;wsp:rsid wsp:val=&quot;00105CD6&quot;/&gt;&lt;wsp:rsid wsp:val=&quot;00107FD5&quot;/&gt;&lt;wsp:rsid wsp:val=&quot;00111C5A&quot;/&gt;&lt;wsp:rsid wsp:val=&quot;00112587&quot;/&gt;&lt;wsp:rsid wsp:val=&quot;00112E2C&quot;/&gt;&lt;wsp:rsid wsp:val=&quot;00112EE6&quot;/&gt;&lt;wsp:rsid wsp:val=&quot;0011378C&quot;/&gt;&lt;wsp:rsid wsp:val=&quot;001152D7&quot;/&gt;&lt;wsp:rsid wsp:val=&quot;00115B11&quot;/&gt;&lt;wsp:rsid wsp:val=&quot;00116812&quot;/&gt;&lt;wsp:rsid wsp:val=&quot;00116960&quot;/&gt;&lt;wsp:rsid wsp:val=&quot;00117B7B&quot;/&gt;&lt;wsp:rsid wsp:val=&quot;00117FBE&quot;/&gt;&lt;wsp:rsid wsp:val=&quot;00121B37&quot;/&gt;&lt;wsp:rsid wsp:val=&quot;00121B69&quot;/&gt;&lt;wsp:rsid wsp:val=&quot;00121EAC&quot;/&gt;&lt;wsp:rsid wsp:val=&quot;001223FC&quot;/&gt;&lt;wsp:rsid wsp:val=&quot;001234D6&quot;/&gt;&lt;wsp:rsid wsp:val=&quot;001238B9&quot;/&gt;&lt;wsp:rsid wsp:val=&quot;00124A16&quot;/&gt;&lt;wsp:rsid wsp:val=&quot;001265BE&quot;/&gt;&lt;wsp:rsid wsp:val=&quot;00127355&quot;/&gt;&lt;wsp:rsid wsp:val=&quot;00127B39&quot;/&gt;&lt;wsp:rsid wsp:val=&quot;001308B8&quot;/&gt;&lt;wsp:rsid wsp:val=&quot;001312B3&quot;/&gt;&lt;wsp:rsid wsp:val=&quot;001332F5&quot;/&gt;&lt;wsp:rsid wsp:val=&quot;001338BC&quot;/&gt;&lt;wsp:rsid wsp:val=&quot;00133B1E&quot;/&gt;&lt;wsp:rsid wsp:val=&quot;00134BF1&quot;/&gt;&lt;wsp:rsid wsp:val=&quot;00134D87&quot;/&gt;&lt;wsp:rsid wsp:val=&quot;0013669F&quot;/&gt;&lt;wsp:rsid wsp:val=&quot;00140F5C&quot;/&gt;&lt;wsp:rsid wsp:val=&quot;00141914&quot;/&gt;&lt;wsp:rsid wsp:val=&quot;00142F60&quot;/&gt;&lt;wsp:rsid wsp:val=&quot;00143525&quot;/&gt;&lt;wsp:rsid wsp:val=&quot;001445A3&quot;/&gt;&lt;wsp:rsid wsp:val=&quot;0014469A&quot;/&gt;&lt;wsp:rsid wsp:val=&quot;001460C4&quot;/&gt;&lt;wsp:rsid wsp:val=&quot;00146FD4&quot;/&gt;&lt;wsp:rsid wsp:val=&quot;00147984&quot;/&gt;&lt;wsp:rsid wsp:val=&quot;00147A4D&quot;/&gt;&lt;wsp:rsid wsp:val=&quot;00150872&quot;/&gt;&lt;wsp:rsid wsp:val=&quot;001527ED&quot;/&gt;&lt;wsp:rsid wsp:val=&quot;001535DC&quot;/&gt;&lt;wsp:rsid wsp:val=&quot;00155032&quot;/&gt;&lt;wsp:rsid wsp:val=&quot;00157102&quot;/&gt;&lt;wsp:rsid wsp:val=&quot;001572C7&quot;/&gt;&lt;wsp:rsid wsp:val=&quot;00160C40&quot;/&gt;&lt;wsp:rsid wsp:val=&quot;00161BC7&quot;/&gt;&lt;wsp:rsid wsp:val=&quot;001626E4&quot;/&gt;&lt;wsp:rsid wsp:val=&quot;0016327D&quot;/&gt;&lt;wsp:rsid wsp:val=&quot;00163D7D&quot;/&gt;&lt;wsp:rsid wsp:val=&quot;00164A8E&quot;/&gt;&lt;wsp:rsid wsp:val=&quot;00164BCE&quot;/&gt;&lt;wsp:rsid wsp:val=&quot;001651AB&quot;/&gt;&lt;wsp:rsid wsp:val=&quot;001661D2&quot;/&gt;&lt;wsp:rsid wsp:val=&quot;00166FE9&quot;/&gt;&lt;wsp:rsid wsp:val=&quot;00167340&quot;/&gt;&lt;wsp:rsid wsp:val=&quot;001703A8&quot;/&gt;&lt;wsp:rsid wsp:val=&quot;001703F4&quot;/&gt;&lt;wsp:rsid wsp:val=&quot;0017148F&quot;/&gt;&lt;wsp:rsid wsp:val=&quot;00171F36&quot;/&gt;&lt;wsp:rsid wsp:val=&quot;001728C2&quot;/&gt;&lt;wsp:rsid wsp:val=&quot;00172A35&quot;/&gt;&lt;wsp:rsid wsp:val=&quot;00173675&quot;/&gt;&lt;wsp:rsid wsp:val=&quot;00174AB9&quot;/&gt;&lt;wsp:rsid wsp:val=&quot;00175802&quot;/&gt;&lt;wsp:rsid wsp:val=&quot;001771D6&quot;/&gt;&lt;wsp:rsid wsp:val=&quot;0018065B&quot;/&gt;&lt;wsp:rsid wsp:val=&quot;00180FD4&quot;/&gt;&lt;wsp:rsid wsp:val=&quot;00181B23&quot;/&gt;&lt;wsp:rsid wsp:val=&quot;00181BD4&quot;/&gt;&lt;wsp:rsid wsp:val=&quot;001828E4&quot;/&gt;&lt;wsp:rsid wsp:val=&quot;00182FAC&quot;/&gt;&lt;wsp:rsid wsp:val=&quot;001841F8&quot;/&gt;&lt;wsp:rsid wsp:val=&quot;001850C0&quot;/&gt;&lt;wsp:rsid wsp:val=&quot;00185379&quot;/&gt;&lt;wsp:rsid wsp:val=&quot;00186E39&quot;/&gt;&lt;wsp:rsid wsp:val=&quot;00187020&quot;/&gt;&lt;wsp:rsid wsp:val=&quot;00191926&quot;/&gt;&lt;wsp:rsid wsp:val=&quot;001934F7&quot;/&gt;&lt;wsp:rsid wsp:val=&quot;00193A73&quot;/&gt;&lt;wsp:rsid wsp:val=&quot;0019476E&quot;/&gt;&lt;wsp:rsid wsp:val=&quot;00195BD9&quot;/&gt;&lt;wsp:rsid wsp:val=&quot;00196B3C&quot;/&gt;&lt;wsp:rsid wsp:val=&quot;00196DDF&quot;/&gt;&lt;wsp:rsid wsp:val=&quot;001975A2&quot;/&gt;&lt;wsp:rsid wsp:val=&quot;001A06B0&quot;/&gt;&lt;wsp:rsid wsp:val=&quot;001A140C&quot;/&gt;&lt;wsp:rsid wsp:val=&quot;001A14D6&quot;/&gt;&lt;wsp:rsid wsp:val=&quot;001A19C8&quot;/&gt;&lt;wsp:rsid wsp:val=&quot;001A19EC&quot;/&gt;&lt;wsp:rsid wsp:val=&quot;001A1FBB&quot;/&gt;&lt;wsp:rsid wsp:val=&quot;001A2D1D&quot;/&gt;&lt;wsp:rsid wsp:val=&quot;001A2E92&quot;/&gt;&lt;wsp:rsid wsp:val=&quot;001A44E4&quot;/&gt;&lt;wsp:rsid wsp:val=&quot;001A4A07&quot;/&gt;&lt;wsp:rsid wsp:val=&quot;001A5724&quot;/&gt;&lt;wsp:rsid wsp:val=&quot;001A6276&quot;/&gt;&lt;wsp:rsid wsp:val=&quot;001A79D1&quot;/&gt;&lt;wsp:rsid wsp:val=&quot;001A7D2C&quot;/&gt;&lt;wsp:rsid wsp:val=&quot;001A7D6D&quot;/&gt;&lt;wsp:rsid wsp:val=&quot;001B02CF&quot;/&gt;&lt;wsp:rsid wsp:val=&quot;001B042A&quot;/&gt;&lt;wsp:rsid wsp:val=&quot;001B07F0&quot;/&gt;&lt;wsp:rsid wsp:val=&quot;001B1FD2&quot;/&gt;&lt;wsp:rsid wsp:val=&quot;001B282E&quot;/&gt;&lt;wsp:rsid wsp:val=&quot;001B2929&quot;/&gt;&lt;wsp:rsid wsp:val=&quot;001B2EDE&quot;/&gt;&lt;wsp:rsid wsp:val=&quot;001B3E90&quot;/&gt;&lt;wsp:rsid wsp:val=&quot;001C0951&quot;/&gt;&lt;wsp:rsid wsp:val=&quot;001C0C70&quot;/&gt;&lt;wsp:rsid wsp:val=&quot;001C200A&quot;/&gt;&lt;wsp:rsid wsp:val=&quot;001C2233&quot;/&gt;&lt;wsp:rsid wsp:val=&quot;001C243D&quot;/&gt;&lt;wsp:rsid wsp:val=&quot;001C265C&quot;/&gt;&lt;wsp:rsid wsp:val=&quot;001C2A6E&quot;/&gt;&lt;wsp:rsid wsp:val=&quot;001C3622&quot;/&gt;&lt;wsp:rsid wsp:val=&quot;001C5CE1&quot;/&gt;&lt;wsp:rsid wsp:val=&quot;001C754D&quot;/&gt;&lt;wsp:rsid wsp:val=&quot;001D02FB&quot;/&gt;&lt;wsp:rsid wsp:val=&quot;001D1122&quot;/&gt;&lt;wsp:rsid wsp:val=&quot;001D11D9&quot;/&gt;&lt;wsp:rsid wsp:val=&quot;001D1C3E&quot;/&gt;&lt;wsp:rsid wsp:val=&quot;001D29AE&quot;/&gt;&lt;wsp:rsid wsp:val=&quot;001D3E51&quot;/&gt;&lt;wsp:rsid wsp:val=&quot;001D4C42&quot;/&gt;&lt;wsp:rsid wsp:val=&quot;001D590A&quot;/&gt;&lt;wsp:rsid wsp:val=&quot;001D7CF6&quot;/&gt;&lt;wsp:rsid wsp:val=&quot;001E0418&quot;/&gt;&lt;wsp:rsid wsp:val=&quot;001E044A&quot;/&gt;&lt;wsp:rsid wsp:val=&quot;001E1E9A&quot;/&gt;&lt;wsp:rsid wsp:val=&quot;001E2782&quot;/&gt;&lt;wsp:rsid wsp:val=&quot;001E6D55&quot;/&gt;&lt;wsp:rsid wsp:val=&quot;001E7CC9&quot;/&gt;&lt;wsp:rsid wsp:val=&quot;001E7EDC&quot;/&gt;&lt;wsp:rsid wsp:val=&quot;001F0114&quot;/&gt;&lt;wsp:rsid wsp:val=&quot;001F03D4&quot;/&gt;&lt;wsp:rsid wsp:val=&quot;001F1F88&quot;/&gt;&lt;wsp:rsid wsp:val=&quot;001F353B&quot;/&gt;&lt;wsp:rsid wsp:val=&quot;001F66E1&quot;/&gt;&lt;wsp:rsid wsp:val=&quot;001F68D4&quot;/&gt;&lt;wsp:rsid wsp:val=&quot;001F6A1B&quot;/&gt;&lt;wsp:rsid wsp:val=&quot;001F7259&quot;/&gt;&lt;wsp:rsid wsp:val=&quot;0020035B&quot;/&gt;&lt;wsp:rsid wsp:val=&quot;002015DC&quot;/&gt;&lt;wsp:rsid wsp:val=&quot;0020458B&quot;/&gt;&lt;wsp:rsid wsp:val=&quot;00204F51&quot;/&gt;&lt;wsp:rsid wsp:val=&quot;002062D4&quot;/&gt;&lt;wsp:rsid wsp:val=&quot;00206CE4&quot;/&gt;&lt;wsp:rsid wsp:val=&quot;00207A7C&quot;/&gt;&lt;wsp:rsid wsp:val=&quot;00210DFF&quot;/&gt;&lt;wsp:rsid wsp:val=&quot;002112BC&quot;/&gt;&lt;wsp:rsid wsp:val=&quot;0021199B&quot;/&gt;&lt;wsp:rsid wsp:val=&quot;00211A14&quot;/&gt;&lt;wsp:rsid wsp:val=&quot;002128A6&quot;/&gt;&lt;wsp:rsid wsp:val=&quot;002128BE&quot;/&gt;&lt;wsp:rsid wsp:val=&quot;00212B56&quot;/&gt;&lt;wsp:rsid wsp:val=&quot;00213C0A&quot;/&gt;&lt;wsp:rsid wsp:val=&quot;002164FE&quot;/&gt;&lt;wsp:rsid wsp:val=&quot;00216CD9&quot;/&gt;&lt;wsp:rsid wsp:val=&quot;00217E32&quot;/&gt;&lt;wsp:rsid wsp:val=&quot;00222380&quot;/&gt;&lt;wsp:rsid wsp:val=&quot;00222456&quot;/&gt;&lt;wsp:rsid wsp:val=&quot;00224C6E&quot;/&gt;&lt;wsp:rsid wsp:val=&quot;0022505B&quot;/&gt;&lt;wsp:rsid wsp:val=&quot;00226066&quot;/&gt;&lt;wsp:rsid wsp:val=&quot;00226DBD&quot;/&gt;&lt;wsp:rsid wsp:val=&quot;00230331&quot;/&gt;&lt;wsp:rsid wsp:val=&quot;00231005&quot;/&gt;&lt;wsp:rsid wsp:val=&quot;00231053&quot;/&gt;&lt;wsp:rsid wsp:val=&quot;002321B7&quot;/&gt;&lt;wsp:rsid wsp:val=&quot;00232795&quot;/&gt;&lt;wsp:rsid wsp:val=&quot;002330AC&quot;/&gt;&lt;wsp:rsid wsp:val=&quot;00233F42&quot;/&gt;&lt;wsp:rsid wsp:val=&quot;00233FC5&quot;/&gt;&lt;wsp:rsid wsp:val=&quot;00236181&quot;/&gt;&lt;wsp:rsid wsp:val=&quot;00237227&quot;/&gt;&lt;wsp:rsid wsp:val=&quot;002374D1&quot;/&gt;&lt;wsp:rsid wsp:val=&quot;00240320&quot;/&gt;&lt;wsp:rsid wsp:val=&quot;00242711&quot;/&gt;&lt;wsp:rsid wsp:val=&quot;00244D65&quot;/&gt;&lt;wsp:rsid wsp:val=&quot;00245699&quot;/&gt;&lt;wsp:rsid wsp:val=&quot;00245A12&quot;/&gt;&lt;wsp:rsid wsp:val=&quot;00246076&quot;/&gt;&lt;wsp:rsid wsp:val=&quot;00246227&quot;/&gt;&lt;wsp:rsid wsp:val=&quot;0025032C&quot;/&gt;&lt;wsp:rsid wsp:val=&quot;00251733&quot;/&gt;&lt;wsp:rsid wsp:val=&quot;00255049&quot;/&gt;&lt;wsp:rsid wsp:val=&quot;00257657&quot;/&gt;&lt;wsp:rsid wsp:val=&quot;0026067A&quot;/&gt;&lt;wsp:rsid wsp:val=&quot;00260BEB&quot;/&gt;&lt;wsp:rsid wsp:val=&quot;00261B38&quot;/&gt;&lt;wsp:rsid wsp:val=&quot;0026531B&quot;/&gt;&lt;wsp:rsid wsp:val=&quot;00265615&quot;/&gt;&lt;wsp:rsid wsp:val=&quot;00266066&quot;/&gt;&lt;wsp:rsid wsp:val=&quot;00266565&quot;/&gt;&lt;wsp:rsid wsp:val=&quot;00266B0E&quot;/&gt;&lt;wsp:rsid wsp:val=&quot;0027098A&quot;/&gt;&lt;wsp:rsid wsp:val=&quot;002715A1&quot;/&gt;&lt;wsp:rsid wsp:val=&quot;00271C5D&quot;/&gt;&lt;wsp:rsid wsp:val=&quot;00272008&quot;/&gt;&lt;wsp:rsid wsp:val=&quot;00272304&quot;/&gt;&lt;wsp:rsid wsp:val=&quot;00273E55&quot;/&gt;&lt;wsp:rsid wsp:val=&quot;00273F84&quot;/&gt;&lt;wsp:rsid wsp:val=&quot;00274241&quot;/&gt;&lt;wsp:rsid wsp:val=&quot;00274C68&quot;/&gt;&lt;wsp:rsid wsp:val=&quot;00274F39&quot;/&gt;&lt;wsp:rsid wsp:val=&quot;00275EF9&quot;/&gt;&lt;wsp:rsid wsp:val=&quot;00276080&quot;/&gt;&lt;wsp:rsid wsp:val=&quot;002769A2&quot;/&gt;&lt;wsp:rsid wsp:val=&quot;00276FE3&quot;/&gt;&lt;wsp:rsid wsp:val=&quot;00277535&quot;/&gt;&lt;wsp:rsid wsp:val=&quot;00280C4A&quot;/&gt;&lt;wsp:rsid wsp:val=&quot;00281123&quot;/&gt;&lt;wsp:rsid wsp:val=&quot;00281D54&quot;/&gt;&lt;wsp:rsid wsp:val=&quot;00281D9F&quot;/&gt;&lt;wsp:rsid wsp:val=&quot;0028213E&quot;/&gt;&lt;wsp:rsid wsp:val=&quot;00283136&quot;/&gt;&lt;wsp:rsid wsp:val=&quot;0028363E&quot;/&gt;&lt;wsp:rsid wsp:val=&quot;00284E56&quot;/&gt;&lt;wsp:rsid wsp:val=&quot;00285A63&quot;/&gt;&lt;wsp:rsid wsp:val=&quot;00286EAC&quot;/&gt;&lt;wsp:rsid wsp:val=&quot;0028769B&quot;/&gt;&lt;wsp:rsid wsp:val=&quot;00287DFF&quot;/&gt;&lt;wsp:rsid wsp:val=&quot;0029186E&quot;/&gt;&lt;wsp:rsid wsp:val=&quot;0029320E&quot;/&gt;&lt;wsp:rsid wsp:val=&quot;00295C13&quot;/&gt;&lt;wsp:rsid wsp:val=&quot;00296F58&quot;/&gt;&lt;wsp:rsid wsp:val=&quot;002A01F0&quot;/&gt;&lt;wsp:rsid wsp:val=&quot;002A0879&quot;/&gt;&lt;wsp:rsid wsp:val=&quot;002A1C9C&quot;/&gt;&lt;wsp:rsid wsp:val=&quot;002A444F&quot;/&gt;&lt;wsp:rsid wsp:val=&quot;002A5D60&quot;/&gt;&lt;wsp:rsid wsp:val=&quot;002A5EBD&quot;/&gt;&lt;wsp:rsid wsp:val=&quot;002A5F75&quot;/&gt;&lt;wsp:rsid wsp:val=&quot;002A753A&quot;/&gt;&lt;wsp:rsid wsp:val=&quot;002B08BA&quot;/&gt;&lt;wsp:rsid wsp:val=&quot;002B0B62&quot;/&gt;&lt;wsp:rsid wsp:val=&quot;002B12B6&quot;/&gt;&lt;wsp:rsid wsp:val=&quot;002B1A96&quot;/&gt;&lt;wsp:rsid wsp:val=&quot;002B1C7D&quot;/&gt;&lt;wsp:rsid wsp:val=&quot;002B2078&quot;/&gt;&lt;wsp:rsid wsp:val=&quot;002B28E8&quot;/&gt;&lt;wsp:rsid wsp:val=&quot;002B2FA7&quot;/&gt;&lt;wsp:rsid wsp:val=&quot;002B4A27&quot;/&gt;&lt;wsp:rsid wsp:val=&quot;002B4AE4&quot;/&gt;&lt;wsp:rsid wsp:val=&quot;002B5DD5&quot;/&gt;&lt;wsp:rsid wsp:val=&quot;002B67CC&quot;/&gt;&lt;wsp:rsid wsp:val=&quot;002B70C1&quot;/&gt;&lt;wsp:rsid wsp:val=&quot;002B7BA6&quot;/&gt;&lt;wsp:rsid wsp:val=&quot;002B7E0D&quot;/&gt;&lt;wsp:rsid wsp:val=&quot;002C02B6&quot;/&gt;&lt;wsp:rsid wsp:val=&quot;002C14FE&quot;/&gt;&lt;wsp:rsid wsp:val=&quot;002C213A&quot;/&gt;&lt;wsp:rsid wsp:val=&quot;002C38EA&quot;/&gt;&lt;wsp:rsid wsp:val=&quot;002C3C3F&quot;/&gt;&lt;wsp:rsid wsp:val=&quot;002C3F6A&quot;/&gt;&lt;wsp:rsid wsp:val=&quot;002C53B6&quot;/&gt;&lt;wsp:rsid wsp:val=&quot;002C5E6B&quot;/&gt;&lt;wsp:rsid wsp:val=&quot;002C73EB&quot;/&gt;&lt;wsp:rsid wsp:val=&quot;002C790A&quot;/&gt;&lt;wsp:rsid wsp:val=&quot;002C7E8E&quot;/&gt;&lt;wsp:rsid wsp:val=&quot;002D06CF&quot;/&gt;&lt;wsp:rsid wsp:val=&quot;002D0E61&quot;/&gt;&lt;wsp:rsid wsp:val=&quot;002D2007&quot;/&gt;&lt;wsp:rsid wsp:val=&quot;002D27C9&quot;/&gt;&lt;wsp:rsid wsp:val=&quot;002D43C3&quot;/&gt;&lt;wsp:rsid wsp:val=&quot;002D5B6E&quot;/&gt;&lt;wsp:rsid wsp:val=&quot;002D5D09&quot;/&gt;&lt;wsp:rsid wsp:val=&quot;002D604A&quot;/&gt;&lt;wsp:rsid wsp:val=&quot;002D6122&quot;/&gt;&lt;wsp:rsid wsp:val=&quot;002D6A1E&quot;/&gt;&lt;wsp:rsid wsp:val=&quot;002D7BCC&quot;/&gt;&lt;wsp:rsid wsp:val=&quot;002E0475&quot;/&gt;&lt;wsp:rsid wsp:val=&quot;002E4A98&quot;/&gt;&lt;wsp:rsid wsp:val=&quot;002E4CE5&quot;/&gt;&lt;wsp:rsid wsp:val=&quot;002E5F09&quot;/&gt;&lt;wsp:rsid wsp:val=&quot;002E7141&quot;/&gt;&lt;wsp:rsid wsp:val=&quot;002F3EC6&quot;/&gt;&lt;wsp:rsid wsp:val=&quot;002F4654&quot;/&gt;&lt;wsp:rsid wsp:val=&quot;002F4E5D&quot;/&gt;&lt;wsp:rsid wsp:val=&quot;002F6329&quot;/&gt;&lt;wsp:rsid wsp:val=&quot;002F66AC&quot;/&gt;&lt;wsp:rsid wsp:val=&quot;002F705A&quot;/&gt;&lt;wsp:rsid wsp:val=&quot;002F74B0&quot;/&gt;&lt;wsp:rsid wsp:val=&quot;002F7BEE&quot;/&gt;&lt;wsp:rsid wsp:val=&quot;002F7F61&quot;/&gt;&lt;wsp:rsid wsp:val=&quot;00300194&quot;/&gt;&lt;wsp:rsid wsp:val=&quot;0030379C&quot;/&gt;&lt;wsp:rsid wsp:val=&quot;00305BFF&quot;/&gt;&lt;wsp:rsid wsp:val=&quot;00305CF9&quot;/&gt;&lt;wsp:rsid wsp:val=&quot;00306155&quot;/&gt;&lt;wsp:rsid wsp:val=&quot;003062A7&quot;/&gt;&lt;wsp:rsid wsp:val=&quot;00306B25&quot;/&gt;&lt;wsp:rsid wsp:val=&quot;00306C41&quot;/&gt;&lt;wsp:rsid wsp:val=&quot;00307CC9&quot;/&gt;&lt;wsp:rsid wsp:val=&quot;0031711F&quot;/&gt;&lt;wsp:rsid wsp:val=&quot;003177DA&quot;/&gt;&lt;wsp:rsid wsp:val=&quot;00320CA2&quot;/&gt;&lt;wsp:rsid wsp:val=&quot;00320D03&quot;/&gt;&lt;wsp:rsid wsp:val=&quot;00321FF9&quot;/&gt;&lt;wsp:rsid wsp:val=&quot;00322124&quot;/&gt;&lt;wsp:rsid wsp:val=&quot;003225EC&quot;/&gt;&lt;wsp:rsid wsp:val=&quot;00324B74&quot;/&gt;&lt;wsp:rsid wsp:val=&quot;00326F79&quot;/&gt;&lt;wsp:rsid wsp:val=&quot;00327B3D&quot;/&gt;&lt;wsp:rsid wsp:val=&quot;00330AD8&quot;/&gt;&lt;wsp:rsid wsp:val=&quot;003326B1&quot;/&gt;&lt;wsp:rsid wsp:val=&quot;00333A18&quot;/&gt;&lt;wsp:rsid wsp:val=&quot;00333F38&quot;/&gt;&lt;wsp:rsid wsp:val=&quot;00334351&quot;/&gt;&lt;wsp:rsid wsp:val=&quot;0033453F&quot;/&gt;&lt;wsp:rsid wsp:val=&quot;00334582&quot;/&gt;&lt;wsp:rsid wsp:val=&quot;00335456&quot;/&gt;&lt;wsp:rsid wsp:val=&quot;00335E39&quot;/&gt;&lt;wsp:rsid wsp:val=&quot;003365AA&quot;/&gt;&lt;wsp:rsid wsp:val=&quot;003372CA&quot;/&gt;&lt;wsp:rsid wsp:val=&quot;00341733&quot;/&gt;&lt;wsp:rsid wsp:val=&quot;003427DF&quot;/&gt;&lt;wsp:rsid wsp:val=&quot;00342D2D&quot;/&gt;&lt;wsp:rsid wsp:val=&quot;003437C7&quot;/&gt;&lt;wsp:rsid wsp:val=&quot;0034407B&quot;/&gt;&lt;wsp:rsid wsp:val=&quot;003444B5&quot;/&gt;&lt;wsp:rsid wsp:val=&quot;00344830&quot;/&gt;&lt;wsp:rsid wsp:val=&quot;00345B7C&quot;/&gt;&lt;wsp:rsid wsp:val=&quot;00346313&quot;/&gt;&lt;wsp:rsid wsp:val=&quot;00346964&quot;/&gt;&lt;wsp:rsid wsp:val=&quot;00347BA6&quot;/&gt;&lt;wsp:rsid wsp:val=&quot;00347E8F&quot;/&gt;&lt;wsp:rsid wsp:val=&quot;00350B6E&quot;/&gt;&lt;wsp:rsid wsp:val=&quot;003513F2&quot;/&gt;&lt;wsp:rsid wsp:val=&quot;00351711&quot;/&gt;&lt;wsp:rsid wsp:val=&quot;00353053&quot;/&gt;&lt;wsp:rsid wsp:val=&quot;00353D04&quot;/&gt;&lt;wsp:rsid wsp:val=&quot;0035443A&quot;/&gt;&lt;wsp:rsid wsp:val=&quot;00354FB6&quot;/&gt;&lt;wsp:rsid wsp:val=&quot;00355AF1&quot;/&gt;&lt;wsp:rsid wsp:val=&quot;0035676B&quot;/&gt;&lt;wsp:rsid wsp:val=&quot;00356F67&quot;/&gt;&lt;wsp:rsid wsp:val=&quot;00357CA1&quot;/&gt;&lt;wsp:rsid wsp:val=&quot;00360F32&quot;/&gt;&lt;wsp:rsid wsp:val=&quot;00362243&quot;/&gt;&lt;wsp:rsid wsp:val=&quot;00362C07&quot;/&gt;&lt;wsp:rsid wsp:val=&quot;00362C49&quot;/&gt;&lt;wsp:rsid wsp:val=&quot;00364313&quot;/&gt;&lt;wsp:rsid wsp:val=&quot;0036551F&quot;/&gt;&lt;wsp:rsid wsp:val=&quot;00365B2C&quot;/&gt;&lt;wsp:rsid wsp:val=&quot;00367DC4&quot;/&gt;&lt;wsp:rsid wsp:val=&quot;00367E0D&quot;/&gt;&lt;wsp:rsid wsp:val=&quot;0037008C&quot;/&gt;&lt;wsp:rsid wsp:val=&quot;003700A0&quot;/&gt;&lt;wsp:rsid wsp:val=&quot;0037148A&quot;/&gt;&lt;wsp:rsid wsp:val=&quot;0037310B&quot;/&gt;&lt;wsp:rsid wsp:val=&quot;00373D8A&quot;/&gt;&lt;wsp:rsid wsp:val=&quot;00374BB0&quot;/&gt;&lt;wsp:rsid wsp:val=&quot;00375229&quot;/&gt;&lt;wsp:rsid wsp:val=&quot;003760BB&quot;/&gt;&lt;wsp:rsid wsp:val=&quot;003762AC&quot;/&gt;&lt;wsp:rsid wsp:val=&quot;0037699E&quot;/&gt;&lt;wsp:rsid wsp:val=&quot;00376A1A&quot;/&gt;&lt;wsp:rsid wsp:val=&quot;003775F4&quot;/&gt;&lt;wsp:rsid wsp:val=&quot;00383387&quot;/&gt;&lt;wsp:rsid wsp:val=&quot;00384920&quot;/&gt;&lt;wsp:rsid wsp:val=&quot;0038549F&quot;/&gt;&lt;wsp:rsid wsp:val=&quot;00385E7A&quot;/&gt;&lt;wsp:rsid wsp:val=&quot;00387980&quot;/&gt;&lt;wsp:rsid wsp:val=&quot;003905F9&quot;/&gt;&lt;wsp:rsid wsp:val=&quot;0039071F&quot;/&gt;&lt;wsp:rsid wsp:val=&quot;003932B9&quot;/&gt;&lt;wsp:rsid wsp:val=&quot;00393EA4&quot;/&gt;&lt;wsp:rsid wsp:val=&quot;003967E2&quot;/&gt;&lt;wsp:rsid wsp:val=&quot;00396FC0&quot;/&gt;&lt;wsp:rsid wsp:val=&quot;0039737D&quot;/&gt;&lt;wsp:rsid wsp:val=&quot;00397F08&quot;/&gt;&lt;wsp:rsid wsp:val=&quot;00397F7F&quot;/&gt;&lt;wsp:rsid wsp:val=&quot;003A001C&quot;/&gt;&lt;wsp:rsid wsp:val=&quot;003A00E8&quot;/&gt;&lt;wsp:rsid wsp:val=&quot;003A07AC&quot;/&gt;&lt;wsp:rsid wsp:val=&quot;003A0B3F&quot;/&gt;&lt;wsp:rsid wsp:val=&quot;003A0D61&quot;/&gt;&lt;wsp:rsid wsp:val=&quot;003A1760&quot;/&gt;&lt;wsp:rsid wsp:val=&quot;003A1A04&quot;/&gt;&lt;wsp:rsid wsp:val=&quot;003A24BC&quot;/&gt;&lt;wsp:rsid wsp:val=&quot;003A4BED&quot;/&gt;&lt;wsp:rsid wsp:val=&quot;003A51FF&quot;/&gt;&lt;wsp:rsid wsp:val=&quot;003A53B1&quot;/&gt;&lt;wsp:rsid wsp:val=&quot;003A6478&quot;/&gt;&lt;wsp:rsid wsp:val=&quot;003A654E&quot;/&gt;&lt;wsp:rsid wsp:val=&quot;003A675D&quot;/&gt;&lt;wsp:rsid wsp:val=&quot;003B330F&quot;/&gt;&lt;wsp:rsid wsp:val=&quot;003B3926&quot;/&gt;&lt;wsp:rsid wsp:val=&quot;003B593E&quot;/&gt;&lt;wsp:rsid wsp:val=&quot;003B66B5&quot;/&gt;&lt;wsp:rsid wsp:val=&quot;003B6922&quot;/&gt;&lt;wsp:rsid wsp:val=&quot;003C0F55&quot;/&gt;&lt;wsp:rsid wsp:val=&quot;003C1CE5&quot;/&gt;&lt;wsp:rsid wsp:val=&quot;003C1E21&quot;/&gt;&lt;wsp:rsid wsp:val=&quot;003C2C89&quot;/&gt;&lt;wsp:rsid wsp:val=&quot;003C3393&quot;/&gt;&lt;wsp:rsid wsp:val=&quot;003C64C5&quot;/&gt;&lt;wsp:rsid wsp:val=&quot;003C704C&quot;/&gt;&lt;wsp:rsid wsp:val=&quot;003C7640&quot;/&gt;&lt;wsp:rsid wsp:val=&quot;003C7B64&quot;/&gt;&lt;wsp:rsid wsp:val=&quot;003D4199&quot;/&gt;&lt;wsp:rsid wsp:val=&quot;003D6C18&quot;/&gt;&lt;wsp:rsid wsp:val=&quot;003E00B5&quot;/&gt;&lt;wsp:rsid wsp:val=&quot;003E1306&quot;/&gt;&lt;wsp:rsid wsp:val=&quot;003E17B3&quot;/&gt;&lt;wsp:rsid wsp:val=&quot;003E21BC&quot;/&gt;&lt;wsp:rsid wsp:val=&quot;003E2432&quot;/&gt;&lt;wsp:rsid wsp:val=&quot;003E2CEC&quot;/&gt;&lt;wsp:rsid wsp:val=&quot;003E31D0&quot;/&gt;&lt;wsp:rsid wsp:val=&quot;003E415B&quot;/&gt;&lt;wsp:rsid wsp:val=&quot;003E468D&quot;/&gt;&lt;wsp:rsid wsp:val=&quot;003E4C4A&quot;/&gt;&lt;wsp:rsid wsp:val=&quot;003E5E25&quot;/&gt;&lt;wsp:rsid wsp:val=&quot;003E6BB5&quot;/&gt;&lt;wsp:rsid wsp:val=&quot;003E7687&quot;/&gt;&lt;wsp:rsid wsp:val=&quot;003F0791&quot;/&gt;&lt;wsp:rsid wsp:val=&quot;003F0D0F&quot;/&gt;&lt;wsp:rsid wsp:val=&quot;003F1CA3&quot;/&gt;&lt;wsp:rsid wsp:val=&quot;003F23C9&quot;/&gt;&lt;wsp:rsid wsp:val=&quot;003F2746&quot;/&gt;&lt;wsp:rsid wsp:val=&quot;003F2BE8&quot;/&gt;&lt;wsp:rsid wsp:val=&quot;003F38D7&quot;/&gt;&lt;wsp:rsid wsp:val=&quot;003F4BE2&quot;/&gt;&lt;wsp:rsid wsp:val=&quot;003F4C1E&quot;/&gt;&lt;wsp:rsid wsp:val=&quot;003F53A5&quot;/&gt;&lt;wsp:rsid wsp:val=&quot;003F59A5&quot;/&gt;&lt;wsp:rsid wsp:val=&quot;003F7E4F&quot;/&gt;&lt;wsp:rsid wsp:val=&quot;0040042C&quot;/&gt;&lt;wsp:rsid wsp:val=&quot;00400523&quot;/&gt;&lt;wsp:rsid wsp:val=&quot;004006F6&quot;/&gt;&lt;wsp:rsid wsp:val=&quot;00402F12&quot;/&gt;&lt;wsp:rsid wsp:val=&quot;00402FF0&quot;/&gt;&lt;wsp:rsid wsp:val=&quot;004034AF&quot;/&gt;&lt;wsp:rsid wsp:val=&quot;00404941&quot;/&gt;&lt;wsp:rsid wsp:val=&quot;00404B45&quot;/&gt;&lt;wsp:rsid wsp:val=&quot;004054D1&quot;/&gt;&lt;wsp:rsid wsp:val=&quot;00406417&quot;/&gt;&lt;wsp:rsid wsp:val=&quot;00406A90&quot;/&gt;&lt;wsp:rsid wsp:val=&quot;00410D35&quot;/&gt;&lt;wsp:rsid wsp:val=&quot;00412C19&quot;/&gt;&lt;wsp:rsid wsp:val=&quot;00413192&quot;/&gt;&lt;wsp:rsid wsp:val=&quot;00413208&quot;/&gt;&lt;wsp:rsid wsp:val=&quot;00420200&quot;/&gt;&lt;wsp:rsid wsp:val=&quot;004206BD&quot;/&gt;&lt;wsp:rsid wsp:val=&quot;00422301&quot;/&gt;&lt;wsp:rsid wsp:val=&quot;00423F9F&quot;/&gt;&lt;wsp:rsid wsp:val=&quot;00424551&quot;/&gt;&lt;wsp:rsid wsp:val=&quot;00425ABC&quot;/&gt;&lt;wsp:rsid wsp:val=&quot;0042633D&quot;/&gt;&lt;wsp:rsid wsp:val=&quot;00430BD6&quot;/&gt;&lt;wsp:rsid wsp:val=&quot;00431932&quot;/&gt;&lt;wsp:rsid wsp:val=&quot;004347EE&quot;/&gt;&lt;wsp:rsid wsp:val=&quot;00434D17&quot;/&gt;&lt;wsp:rsid wsp:val=&quot;004357C9&quot;/&gt;&lt;wsp:rsid wsp:val=&quot;00436185&quot;/&gt;&lt;wsp:rsid wsp:val=&quot;004371D0&quot;/&gt;&lt;wsp:rsid wsp:val=&quot;004372C8&quot;/&gt;&lt;wsp:rsid wsp:val=&quot;00437397&quot;/&gt;&lt;wsp:rsid wsp:val=&quot;00440C74&quot;/&gt;&lt;wsp:rsid wsp:val=&quot;004413B7&quot;/&gt;&lt;wsp:rsid wsp:val=&quot;00441D60&quot;/&gt;&lt;wsp:rsid wsp:val=&quot;00444894&quot;/&gt;&lt;wsp:rsid wsp:val=&quot;00450901&quot;/&gt;&lt;wsp:rsid wsp:val=&quot;00451450&quot;/&gt;&lt;wsp:rsid wsp:val=&quot;004516C9&quot;/&gt;&lt;wsp:rsid wsp:val=&quot;0045252D&quot;/&gt;&lt;wsp:rsid wsp:val=&quot;00455BFC&quot;/&gt;&lt;wsp:rsid wsp:val=&quot;00455F64&quot;/&gt;&lt;wsp:rsid wsp:val=&quot;004560B8&quot;/&gt;&lt;wsp:rsid wsp:val=&quot;0046162D&quot;/&gt;&lt;wsp:rsid wsp:val=&quot;00461BED&quot;/&gt;&lt;wsp:rsid wsp:val=&quot;00461C22&quot;/&gt;&lt;wsp:rsid wsp:val=&quot;004628D7&quot;/&gt;&lt;wsp:rsid wsp:val=&quot;00462BB9&quot;/&gt;&lt;wsp:rsid wsp:val=&quot;00463827&quot;/&gt;&lt;wsp:rsid wsp:val=&quot;00463E9B&quot;/&gt;&lt;wsp:rsid wsp:val=&quot;00464A87&quot;/&gt;&lt;wsp:rsid wsp:val=&quot;00465171&quot;/&gt;&lt;wsp:rsid wsp:val=&quot;004655A0&quot;/&gt;&lt;wsp:rsid wsp:val=&quot;00465F99&quot;/&gt;&lt;wsp:rsid wsp:val=&quot;00470D00&quot;/&gt;&lt;wsp:rsid wsp:val=&quot;004711C4&quot;/&gt;&lt;wsp:rsid wsp:val=&quot;0047292D&quot;/&gt;&lt;wsp:rsid wsp:val=&quot;00472BFF&quot;/&gt;&lt;wsp:rsid wsp:val=&quot;00474201&quot;/&gt;&lt;wsp:rsid wsp:val=&quot;004743F1&quot;/&gt;&lt;wsp:rsid wsp:val=&quot;00474D7B&quot;/&gt;&lt;wsp:rsid wsp:val=&quot;00475316&quot;/&gt;&lt;wsp:rsid wsp:val=&quot;00475814&quot;/&gt;&lt;wsp:rsid wsp:val=&quot;004763FB&quot;/&gt;&lt;wsp:rsid wsp:val=&quot;00477848&quot;/&gt;&lt;wsp:rsid wsp:val=&quot;00481644&quot;/&gt;&lt;wsp:rsid wsp:val=&quot;004818A1&quot;/&gt;&lt;wsp:rsid wsp:val=&quot;00481915&quot;/&gt;&lt;wsp:rsid wsp:val=&quot;00482683&quot;/&gt;&lt;wsp:rsid wsp:val=&quot;00482BA3&quot;/&gt;&lt;wsp:rsid wsp:val=&quot;00483EBD&quot;/&gt;&lt;wsp:rsid wsp:val=&quot;004877F5&quot;/&gt;&lt;wsp:rsid wsp:val=&quot;00490556&quot;/&gt;&lt;wsp:rsid wsp:val=&quot;00490764&quot;/&gt;&lt;wsp:rsid wsp:val=&quot;004911F3&quot;/&gt;&lt;wsp:rsid wsp:val=&quot;00491976&quot;/&gt;&lt;wsp:rsid wsp:val=&quot;00492C32&quot;/&gt;&lt;wsp:rsid wsp:val=&quot;00493FBE&quot;/&gt;&lt;wsp:rsid wsp:val=&quot;004948C2&quot;/&gt;&lt;wsp:rsid wsp:val=&quot;00494B58&quot;/&gt;&lt;wsp:rsid wsp:val=&quot;004954D9&quot;/&gt;&lt;wsp:rsid wsp:val=&quot;00495CAE&quot;/&gt;&lt;wsp:rsid wsp:val=&quot;004A00C5&quot;/&gt;&lt;wsp:rsid wsp:val=&quot;004A0EC8&quot;/&gt;&lt;wsp:rsid wsp:val=&quot;004A1EC5&quot;/&gt;&lt;wsp:rsid wsp:val=&quot;004A26B1&quot;/&gt;&lt;wsp:rsid wsp:val=&quot;004A2DBE&quot;/&gt;&lt;wsp:rsid wsp:val=&quot;004A381C&quot;/&gt;&lt;wsp:rsid wsp:val=&quot;004A5C6C&quot;/&gt;&lt;wsp:rsid wsp:val=&quot;004A5C87&quot;/&gt;&lt;wsp:rsid wsp:val=&quot;004B02A6&quot;/&gt;&lt;wsp:rsid wsp:val=&quot;004B1250&quot;/&gt;&lt;wsp:rsid wsp:val=&quot;004B1E33&quot;/&gt;&lt;wsp:rsid wsp:val=&quot;004B3DB4&quot;/&gt;&lt;wsp:rsid wsp:val=&quot;004B46A2&quot;/&gt;&lt;wsp:rsid wsp:val=&quot;004B528A&quot;/&gt;&lt;wsp:rsid wsp:val=&quot;004B569C&quot;/&gt;&lt;wsp:rsid wsp:val=&quot;004B6068&quot;/&gt;&lt;wsp:rsid wsp:val=&quot;004B6333&quot;/&gt;&lt;wsp:rsid wsp:val=&quot;004B724B&quot;/&gt;&lt;wsp:rsid wsp:val=&quot;004B7AC5&quot;/&gt;&lt;wsp:rsid wsp:val=&quot;004C0D1D&quot;/&gt;&lt;wsp:rsid wsp:val=&quot;004C2EC4&quot;/&gt;&lt;wsp:rsid wsp:val=&quot;004C4DD2&quot;/&gt;&lt;wsp:rsid wsp:val=&quot;004C53E7&quot;/&gt;&lt;wsp:rsid wsp:val=&quot;004C618F&quot;/&gt;&lt;wsp:rsid wsp:val=&quot;004C6927&quot;/&gt;&lt;wsp:rsid wsp:val=&quot;004D10C3&quot;/&gt;&lt;wsp:rsid wsp:val=&quot;004D1339&quot;/&gt;&lt;wsp:rsid wsp:val=&quot;004D1387&quot;/&gt;&lt;wsp:rsid wsp:val=&quot;004D238D&quot;/&gt;&lt;wsp:rsid wsp:val=&quot;004D2495&quot;/&gt;&lt;wsp:rsid wsp:val=&quot;004D4E39&quot;/&gt;&lt;wsp:rsid wsp:val=&quot;004D4F98&quot;/&gt;&lt;wsp:rsid wsp:val=&quot;004D5913&quot;/&gt;&lt;wsp:rsid wsp:val=&quot;004D5A45&quot;/&gt;&lt;wsp:rsid wsp:val=&quot;004D5F7E&quot;/&gt;&lt;wsp:rsid wsp:val=&quot;004D6754&quot;/&gt;&lt;wsp:rsid wsp:val=&quot;004D6974&quot;/&gt;&lt;wsp:rsid wsp:val=&quot;004D6D3C&quot;/&gt;&lt;wsp:rsid wsp:val=&quot;004D70BA&quot;/&gt;&lt;wsp:rsid wsp:val=&quot;004E0C6D&quot;/&gt;&lt;wsp:rsid wsp:val=&quot;004E2397&quot;/&gt;&lt;wsp:rsid wsp:val=&quot;004E25FD&quot;/&gt;&lt;wsp:rsid wsp:val=&quot;004E2AC2&quot;/&gt;&lt;wsp:rsid wsp:val=&quot;004E3242&quot;/&gt;&lt;wsp:rsid wsp:val=&quot;004E3821&quot;/&gt;&lt;wsp:rsid wsp:val=&quot;004E6F07&quot;/&gt;&lt;wsp:rsid wsp:val=&quot;004E7774&quot;/&gt;&lt;wsp:rsid wsp:val=&quot;004F03D0&quot;/&gt;&lt;wsp:rsid wsp:val=&quot;004F08DE&quot;/&gt;&lt;wsp:rsid wsp:val=&quot;004F44DB&quot;/&gt;&lt;wsp:rsid wsp:val=&quot;004F4659&quot;/&gt;&lt;wsp:rsid wsp:val=&quot;004F57F5&quot;/&gt;&lt;wsp:rsid wsp:val=&quot;004F5C59&quot;/&gt;&lt;wsp:rsid wsp:val=&quot;004F7826&quot;/&gt;&lt;wsp:rsid wsp:val=&quot;004F7AB7&quot;/&gt;&lt;wsp:rsid wsp:val=&quot;005017AD&quot;/&gt;&lt;wsp:rsid wsp:val=&quot;00501A38&quot;/&gt;&lt;wsp:rsid wsp:val=&quot;005026C3&quot;/&gt;&lt;wsp:rsid wsp:val=&quot;00502A87&quot;/&gt;&lt;wsp:rsid wsp:val=&quot;0050313B&quot;/&gt;&lt;wsp:rsid wsp:val=&quot;00503933&quot;/&gt;&lt;wsp:rsid wsp:val=&quot;0050448F&quot;/&gt;&lt;wsp:rsid wsp:val=&quot;00504B58&quot;/&gt;&lt;wsp:rsid wsp:val=&quot;005051FB&quot;/&gt;&lt;wsp:rsid wsp:val=&quot;00505B66&quot;/&gt;&lt;wsp:rsid wsp:val=&quot;005068A9&quot;/&gt;&lt;wsp:rsid wsp:val=&quot;00510991&quot;/&gt;&lt;wsp:rsid wsp:val=&quot;005109D2&quot;/&gt;&lt;wsp:rsid wsp:val=&quot;00510CE8&quot;/&gt;&lt;wsp:rsid wsp:val=&quot;005112C9&quot;/&gt;&lt;wsp:rsid wsp:val=&quot;00511C05&quot;/&gt;&lt;wsp:rsid wsp:val=&quot;00511F1D&quot;/&gt;&lt;wsp:rsid wsp:val=&quot;0051266C&quot;/&gt;&lt;wsp:rsid wsp:val=&quot;005160D5&quot;/&gt;&lt;wsp:rsid wsp:val=&quot;0051720C&quot;/&gt;&lt;wsp:rsid wsp:val=&quot;00517537&quot;/&gt;&lt;wsp:rsid wsp:val=&quot;00517580&quot;/&gt;&lt;wsp:rsid wsp:val=&quot;0052142D&quot;/&gt;&lt;wsp:rsid wsp:val=&quot;00521A3E&quot;/&gt;&lt;wsp:rsid wsp:val=&quot;00521FB3&quot;/&gt;&lt;wsp:rsid wsp:val=&quot;005228C0&quot;/&gt;&lt;wsp:rsid wsp:val=&quot;00522ABB&quot;/&gt;&lt;wsp:rsid wsp:val=&quot;005269E9&quot;/&gt;&lt;wsp:rsid wsp:val=&quot;005323B2&quot;/&gt;&lt;wsp:rsid wsp:val=&quot;00532557&quot;/&gt;&lt;wsp:rsid wsp:val=&quot;00532F96&quot;/&gt;&lt;wsp:rsid wsp:val=&quot;005334BC&quot;/&gt;&lt;wsp:rsid wsp:val=&quot;00533A67&quot;/&gt;&lt;wsp:rsid wsp:val=&quot;00535A2E&quot;/&gt;&lt;wsp:rsid wsp:val=&quot;00535BBC&quot;/&gt;&lt;wsp:rsid wsp:val=&quot;00540264&quot;/&gt;&lt;wsp:rsid wsp:val=&quot;005425C4&quot;/&gt;&lt;wsp:rsid wsp:val=&quot;00542B90&quot;/&gt;&lt;wsp:rsid wsp:val=&quot;005436DB&quot;/&gt;&lt;wsp:rsid wsp:val=&quot;005439C9&quot;/&gt;&lt;wsp:rsid wsp:val=&quot;00544533&quot;/&gt;&lt;wsp:rsid wsp:val=&quot;00545860&quot;/&gt;&lt;wsp:rsid wsp:val=&quot;005467F5&quot;/&gt;&lt;wsp:rsid wsp:val=&quot;005467FC&quot;/&gt;&lt;wsp:rsid wsp:val=&quot;0054740D&quot;/&gt;&lt;wsp:rsid wsp:val=&quot;00550AC5&quot;/&gt;&lt;wsp:rsid wsp:val=&quot;00550C4F&quot;/&gt;&lt;wsp:rsid wsp:val=&quot;0055318F&quot;/&gt;&lt;wsp:rsid wsp:val=&quot;005532C5&quot;/&gt;&lt;wsp:rsid wsp:val=&quot;0055335A&quot;/&gt;&lt;wsp:rsid wsp:val=&quot;005535C2&quot;/&gt;&lt;wsp:rsid wsp:val=&quot;0055699D&quot;/&gt;&lt;wsp:rsid wsp:val=&quot;005603ED&quot;/&gt;&lt;wsp:rsid wsp:val=&quot;00561131&quot;/&gt;&lt;wsp:rsid wsp:val=&quot;0056164E&quot;/&gt;&lt;wsp:rsid wsp:val=&quot;00561DD7&quot;/&gt;&lt;wsp:rsid wsp:val=&quot;00562BF2&quot;/&gt;&lt;wsp:rsid wsp:val=&quot;00564ACD&quot;/&gt;&lt;wsp:rsid wsp:val=&quot;00565917&quot;/&gt;&lt;wsp:rsid wsp:val=&quot;005662F7&quot;/&gt;&lt;wsp:rsid wsp:val=&quot;005678BA&quot;/&gt;&lt;wsp:rsid wsp:val=&quot;005725D1&quot;/&gt;&lt;wsp:rsid wsp:val=&quot;00573503&quot;/&gt;&lt;wsp:rsid wsp:val=&quot;00573644&quot;/&gt;&lt;wsp:rsid wsp:val=&quot;00573714&quot;/&gt;&lt;wsp:rsid wsp:val=&quot;00574ABD&quot;/&gt;&lt;wsp:rsid wsp:val=&quot;0057601A&quot;/&gt;&lt;wsp:rsid wsp:val=&quot;005800DF&quot;/&gt;&lt;wsp:rsid wsp:val=&quot;00580C15&quot;/&gt;&lt;wsp:rsid wsp:val=&quot;00581065&quot;/&gt;&lt;wsp:rsid wsp:val=&quot;0058138D&quot;/&gt;&lt;wsp:rsid wsp:val=&quot;00581489&quot;/&gt;&lt;wsp:rsid wsp:val=&quot;00583396&quot;/&gt;&lt;wsp:rsid wsp:val=&quot;00583669&quot;/&gt;&lt;wsp:rsid wsp:val=&quot;00584087&quot;/&gt;&lt;wsp:rsid wsp:val=&quot;005840FC&quot;/&gt;&lt;wsp:rsid wsp:val=&quot;0058523D&quot;/&gt;&lt;wsp:rsid wsp:val=&quot;00587D01&quot;/&gt;&lt;wsp:rsid wsp:val=&quot;00590704&quot;/&gt;&lt;wsp:rsid wsp:val=&quot;005915AC&quot;/&gt;&lt;wsp:rsid wsp:val=&quot;00591878&quot;/&gt;&lt;wsp:rsid wsp:val=&quot;005921FC&quot;/&gt;&lt;wsp:rsid wsp:val=&quot;00592620&quot;/&gt;&lt;wsp:rsid wsp:val=&quot;00595FA3&quot;/&gt;&lt;wsp:rsid wsp:val=&quot;00596564&quot;/&gt;&lt;wsp:rsid wsp:val=&quot;00596BC3&quot;/&gt;&lt;wsp:rsid wsp:val=&quot;00596FBF&quot;/&gt;&lt;wsp:rsid wsp:val=&quot;005A1BD8&quot;/&gt;&lt;wsp:rsid wsp:val=&quot;005A1BFB&quot;/&gt;&lt;wsp:rsid wsp:val=&quot;005A1E00&quot;/&gt;&lt;wsp:rsid wsp:val=&quot;005A2E2F&quot;/&gt;&lt;wsp:rsid wsp:val=&quot;005A48E1&quot;/&gt;&lt;wsp:rsid wsp:val=&quot;005A57AB&quot;/&gt;&lt;wsp:rsid wsp:val=&quot;005A6E70&quot;/&gt;&lt;wsp:rsid wsp:val=&quot;005A7618&quot;/&gt;&lt;wsp:rsid wsp:val=&quot;005A78C5&quot;/&gt;&lt;wsp:rsid wsp:val=&quot;005A7E35&quot;/&gt;&lt;wsp:rsid wsp:val=&quot;005B11CF&quot;/&gt;&lt;wsp:rsid wsp:val=&quot;005B1718&quot;/&gt;&lt;wsp:rsid wsp:val=&quot;005B19F8&quot;/&gt;&lt;wsp:rsid wsp:val=&quot;005B218E&quot;/&gt;&lt;wsp:rsid wsp:val=&quot;005B2767&quot;/&gt;&lt;wsp:rsid wsp:val=&quot;005B3A3A&quot;/&gt;&lt;wsp:rsid wsp:val=&quot;005B538B&quot;/&gt;&lt;wsp:rsid wsp:val=&quot;005C137C&quot;/&gt;&lt;wsp:rsid wsp:val=&quot;005C1942&quot;/&gt;&lt;wsp:rsid wsp:val=&quot;005C2719&quot;/&gt;&lt;wsp:rsid wsp:val=&quot;005C2FD6&quot;/&gt;&lt;wsp:rsid wsp:val=&quot;005C5BB9&quot;/&gt;&lt;wsp:rsid wsp:val=&quot;005C679D&quot;/&gt;&lt;wsp:rsid wsp:val=&quot;005C7C99&quot;/&gt;&lt;wsp:rsid wsp:val=&quot;005D02C9&quot;/&gt;&lt;wsp:rsid wsp:val=&quot;005D278B&quot;/&gt;&lt;wsp:rsid wsp:val=&quot;005D3220&quot;/&gt;&lt;wsp:rsid wsp:val=&quot;005D3A70&quot;/&gt;&lt;wsp:rsid wsp:val=&quot;005D3E96&quot;/&gt;&lt;wsp:rsid wsp:val=&quot;005D5DA6&quot;/&gt;&lt;wsp:rsid wsp:val=&quot;005D67F1&quot;/&gt;&lt;wsp:rsid wsp:val=&quot;005D6F06&quot;/&gt;&lt;wsp:rsid wsp:val=&quot;005D73DD&quot;/&gt;&lt;wsp:rsid wsp:val=&quot;005D7854&quot;/&gt;&lt;wsp:rsid wsp:val=&quot;005D78EB&quot;/&gt;&lt;wsp:rsid wsp:val=&quot;005E0238&quot;/&gt;&lt;wsp:rsid wsp:val=&quot;005E1027&quot;/&gt;&lt;wsp:rsid wsp:val=&quot;005E174D&quot;/&gt;&lt;wsp:rsid wsp:val=&quot;005E177A&quot;/&gt;&lt;wsp:rsid wsp:val=&quot;005E22E1&quot;/&gt;&lt;wsp:rsid wsp:val=&quot;005E327D&quot;/&gt;&lt;wsp:rsid wsp:val=&quot;005E3680&quot;/&gt;&lt;wsp:rsid wsp:val=&quot;005E471F&quot;/&gt;&lt;wsp:rsid wsp:val=&quot;005E5081&quot;/&gt;&lt;wsp:rsid wsp:val=&quot;005E5E31&quot;/&gt;&lt;wsp:rsid wsp:val=&quot;005E5FF1&quot;/&gt;&lt;wsp:rsid wsp:val=&quot;005E7108&quot;/&gt;&lt;wsp:rsid wsp:val=&quot;005F02FA&quot;/&gt;&lt;wsp:rsid wsp:val=&quot;005F046E&quot;/&gt;&lt;wsp:rsid wsp:val=&quot;005F0B98&quot;/&gt;&lt;wsp:rsid wsp:val=&quot;005F1420&quot;/&gt;&lt;wsp:rsid wsp:val=&quot;005F1C99&quot;/&gt;&lt;wsp:rsid wsp:val=&quot;005F240D&quot;/&gt;&lt;wsp:rsid wsp:val=&quot;005F4C34&quot;/&gt;&lt;wsp:rsid wsp:val=&quot;005F6552&quot;/&gt;&lt;wsp:rsid wsp:val=&quot;005F6D2B&quot;/&gt;&lt;wsp:rsid wsp:val=&quot;005F6E1C&quot;/&gt;&lt;wsp:rsid wsp:val=&quot;005F71AF&quot;/&gt;&lt;wsp:rsid wsp:val=&quot;005F79BC&quot;/&gt;&lt;wsp:rsid wsp:val=&quot;0060066E&quot;/&gt;&lt;wsp:rsid wsp:val=&quot;00600E56&quot;/&gt;&lt;wsp:rsid wsp:val=&quot;006011D5&quot;/&gt;&lt;wsp:rsid wsp:val=&quot;00601AB9&quot;/&gt;&lt;wsp:rsid wsp:val=&quot;00602420&quot;/&gt;&lt;wsp:rsid wsp:val=&quot;00602997&quot;/&gt;&lt;wsp:rsid wsp:val=&quot;006033DF&quot;/&gt;&lt;wsp:rsid wsp:val=&quot;006038FB&quot;/&gt;&lt;wsp:rsid wsp:val=&quot;00604264&quot;/&gt;&lt;wsp:rsid wsp:val=&quot;00605DD2&quot;/&gt;&lt;wsp:rsid wsp:val=&quot;0060652C&quot;/&gt;&lt;wsp:rsid wsp:val=&quot;00607743&quot;/&gt;&lt;wsp:rsid wsp:val=&quot;00607D8D&quot;/&gt;&lt;wsp:rsid wsp:val=&quot;00611D9C&quot;/&gt;&lt;wsp:rsid wsp:val=&quot;00611EBD&quot;/&gt;&lt;wsp:rsid wsp:val=&quot;00612482&quot;/&gt;&lt;wsp:rsid wsp:val=&quot;006127B9&quot;/&gt;&lt;wsp:rsid wsp:val=&quot;006128E2&quot;/&gt;&lt;wsp:rsid wsp:val=&quot;006139AE&quot;/&gt;&lt;wsp:rsid wsp:val=&quot;00613A30&quot;/&gt;&lt;wsp:rsid wsp:val=&quot;00613A8D&quot;/&gt;&lt;wsp:rsid wsp:val=&quot;00613F12&quot;/&gt;&lt;wsp:rsid wsp:val=&quot;00620484&quot;/&gt;&lt;wsp:rsid wsp:val=&quot;0062098B&quot;/&gt;&lt;wsp:rsid wsp:val=&quot;00621D5C&quot;/&gt;&lt;wsp:rsid wsp:val=&quot;0062338C&quot;/&gt;&lt;wsp:rsid wsp:val=&quot;0062359C&quot;/&gt;&lt;wsp:rsid wsp:val=&quot;00625CB8&quot;/&gt;&lt;wsp:rsid wsp:val=&quot;0062741C&quot;/&gt;&lt;wsp:rsid wsp:val=&quot;00633F6A&quot;/&gt;&lt;wsp:rsid wsp:val=&quot;00634BF7&quot;/&gt;&lt;wsp:rsid wsp:val=&quot;006354E6&quot;/&gt;&lt;wsp:rsid wsp:val=&quot;00635F79&quot;/&gt;&lt;wsp:rsid wsp:val=&quot;00636108&quot;/&gt;&lt;wsp:rsid wsp:val=&quot;00637B8B&quot;/&gt;&lt;wsp:rsid wsp:val=&quot;00641649&quot;/&gt;&lt;wsp:rsid wsp:val=&quot;00641953&quot;/&gt;&lt;wsp:rsid wsp:val=&quot;006451E1&quot;/&gt;&lt;wsp:rsid wsp:val=&quot;00645757&quot;/&gt;&lt;wsp:rsid wsp:val=&quot;006468BE&quot;/&gt;&lt;wsp:rsid wsp:val=&quot;00646E39&quot;/&gt;&lt;wsp:rsid wsp:val=&quot;006522D1&quot;/&gt;&lt;wsp:rsid wsp:val=&quot;006543F7&quot;/&gt;&lt;wsp:rsid wsp:val=&quot;006548BB&quot;/&gt;&lt;wsp:rsid wsp:val=&quot;00654D4F&quot;/&gt;&lt;wsp:rsid wsp:val=&quot;00654E52&quot;/&gt;&lt;wsp:rsid wsp:val=&quot;00656A5F&quot;/&gt;&lt;wsp:rsid wsp:val=&quot;00656B43&quot;/&gt;&lt;wsp:rsid wsp:val=&quot;00660B27&quot;/&gt;&lt;wsp:rsid wsp:val=&quot;00661783&quot;/&gt;&lt;wsp:rsid wsp:val=&quot;00661BD9&quot;/&gt;&lt;wsp:rsid wsp:val=&quot;00661E73&quot;/&gt;&lt;wsp:rsid wsp:val=&quot;00663504&quot;/&gt;&lt;wsp:rsid wsp:val=&quot;00663F63&quot;/&gt;&lt;wsp:rsid wsp:val=&quot;0066508F&quot;/&gt;&lt;wsp:rsid wsp:val=&quot;00665ED2&quot;/&gt;&lt;wsp:rsid wsp:val=&quot;0066657A&quot;/&gt;&lt;wsp:rsid wsp:val=&quot;00666592&quot;/&gt;&lt;wsp:rsid wsp:val=&quot;0066676B&quot;/&gt;&lt;wsp:rsid wsp:val=&quot;00671334&quot;/&gt;&lt;wsp:rsid wsp:val=&quot;006725DA&quot;/&gt;&lt;wsp:rsid wsp:val=&quot;006726D4&quot;/&gt;&lt;wsp:rsid wsp:val=&quot;006752DE&quot;/&gt;&lt;wsp:rsid wsp:val=&quot;00675871&quot;/&gt;&lt;wsp:rsid wsp:val=&quot;0068090C&quot;/&gt;&lt;wsp:rsid wsp:val=&quot;00681014&quot;/&gt;&lt;wsp:rsid wsp:val=&quot;00681B2B&quot;/&gt;&lt;wsp:rsid wsp:val=&quot;00681EC0&quot;/&gt;&lt;wsp:rsid wsp:val=&quot;00683A39&quot;/&gt;&lt;wsp:rsid wsp:val=&quot;00686738&quot;/&gt;&lt;wsp:rsid wsp:val=&quot;00687651&quot;/&gt;&lt;wsp:rsid wsp:val=&quot;0069052F&quot;/&gt;&lt;wsp:rsid wsp:val=&quot;00690EB4&quot;/&gt;&lt;wsp:rsid wsp:val=&quot;00691D8C&quot;/&gt;&lt;wsp:rsid wsp:val=&quot;006921F4&quot;/&gt;&lt;wsp:rsid wsp:val=&quot;006942C5&quot;/&gt;&lt;wsp:rsid wsp:val=&quot;00694BD3&quot;/&gt;&lt;wsp:rsid wsp:val=&quot;00695453&quot;/&gt;&lt;wsp:rsid wsp:val=&quot;0069652E&quot;/&gt;&lt;wsp:rsid wsp:val=&quot;0069703B&quot;/&gt;&lt;wsp:rsid wsp:val=&quot;006973D4&quot;/&gt;&lt;wsp:rsid wsp:val=&quot;00697617&quot;/&gt;&lt;wsp:rsid wsp:val=&quot;006A01E6&quot;/&gt;&lt;wsp:rsid wsp:val=&quot;006A052D&quot;/&gt;&lt;wsp:rsid wsp:val=&quot;006A1AE6&quot;/&gt;&lt;wsp:rsid wsp:val=&quot;006A1F3D&quot;/&gt;&lt;wsp:rsid wsp:val=&quot;006A21C2&quot;/&gt;&lt;wsp:rsid wsp:val=&quot;006A25F4&quot;/&gt;&lt;wsp:rsid wsp:val=&quot;006A2822&quot;/&gt;&lt;wsp:rsid wsp:val=&quot;006A33EC&quot;/&gt;&lt;wsp:rsid wsp:val=&quot;006A3FCE&quot;/&gt;&lt;wsp:rsid wsp:val=&quot;006A731D&quot;/&gt;&lt;wsp:rsid wsp:val=&quot;006A75F1&quot;/&gt;&lt;wsp:rsid wsp:val=&quot;006B05CB&quot;/&gt;&lt;wsp:rsid wsp:val=&quot;006B0D53&quot;/&gt;&lt;wsp:rsid wsp:val=&quot;006B14E8&quot;/&gt;&lt;wsp:rsid wsp:val=&quot;006B17F3&quot;/&gt;&lt;wsp:rsid wsp:val=&quot;006B2DB9&quot;/&gt;&lt;wsp:rsid wsp:val=&quot;006B3730&quot;/&gt;&lt;wsp:rsid wsp:val=&quot;006B3F12&quot;/&gt;&lt;wsp:rsid wsp:val=&quot;006B40C5&quot;/&gt;&lt;wsp:rsid wsp:val=&quot;006B4AA2&quot;/&gt;&lt;wsp:rsid wsp:val=&quot;006B5B8C&quot;/&gt;&lt;wsp:rsid wsp:val=&quot;006B5D1A&quot;/&gt;&lt;wsp:rsid wsp:val=&quot;006B6329&quot;/&gt;&lt;wsp:rsid wsp:val=&quot;006B6E9D&quot;/&gt;&lt;wsp:rsid wsp:val=&quot;006B7769&quot;/&gt;&lt;wsp:rsid wsp:val=&quot;006C0986&quot;/&gt;&lt;wsp:rsid wsp:val=&quot;006C205A&quot;/&gt;&lt;wsp:rsid wsp:val=&quot;006C2213&quot;/&gt;&lt;wsp:rsid wsp:val=&quot;006C28E1&quot;/&gt;&lt;wsp:rsid wsp:val=&quot;006C31E1&quot;/&gt;&lt;wsp:rsid wsp:val=&quot;006C3263&quot;/&gt;&lt;wsp:rsid wsp:val=&quot;006D1D18&quot;/&gt;&lt;wsp:rsid wsp:val=&quot;006D2135&quot;/&gt;&lt;wsp:rsid wsp:val=&quot;006D289E&quot;/&gt;&lt;wsp:rsid wsp:val=&quot;006D3E2B&quot;/&gt;&lt;wsp:rsid wsp:val=&quot;006D4460&quot;/&gt;&lt;wsp:rsid wsp:val=&quot;006D5F5C&quot;/&gt;&lt;wsp:rsid wsp:val=&quot;006D6DAF&quot;/&gt;&lt;wsp:rsid wsp:val=&quot;006E18D3&quot;/&gt;&lt;wsp:rsid wsp:val=&quot;006E26B6&quot;/&gt;&lt;wsp:rsid wsp:val=&quot;006E2A24&quot;/&gt;&lt;wsp:rsid wsp:val=&quot;006E3D11&quot;/&gt;&lt;wsp:rsid wsp:val=&quot;006E4886&quot;/&gt;&lt;wsp:rsid wsp:val=&quot;006E541D&quot;/&gt;&lt;wsp:rsid wsp:val=&quot;006E5FE0&quot;/&gt;&lt;wsp:rsid wsp:val=&quot;006E69CE&quot;/&gt;&lt;wsp:rsid wsp:val=&quot;006E6F2C&quot;/&gt;&lt;wsp:rsid wsp:val=&quot;006E7CFB&quot;/&gt;&lt;wsp:rsid wsp:val=&quot;006E7EA8&quot;/&gt;&lt;wsp:rsid wsp:val=&quot;006F0993&quot;/&gt;&lt;wsp:rsid wsp:val=&quot;006F1D64&quot;/&gt;&lt;wsp:rsid wsp:val=&quot;006F1E6B&quot;/&gt;&lt;wsp:rsid wsp:val=&quot;006F21A2&quot;/&gt;&lt;wsp:rsid wsp:val=&quot;006F3A5E&quot;/&gt;&lt;wsp:rsid wsp:val=&quot;006F4499&quot;/&gt;&lt;wsp:rsid wsp:val=&quot;006F5CB7&quot;/&gt;&lt;wsp:rsid wsp:val=&quot;006F6128&quot;/&gt;&lt;wsp:rsid wsp:val=&quot;006F646C&quot;/&gt;&lt;wsp:rsid wsp:val=&quot;006F6705&quot;/&gt;&lt;wsp:rsid wsp:val=&quot;006F683B&quot;/&gt;&lt;wsp:rsid wsp:val=&quot;00701671&quot;/&gt;&lt;wsp:rsid wsp:val=&quot;0070168D&quot;/&gt;&lt;wsp:rsid wsp:val=&quot;007025FA&quot;/&gt;&lt;wsp:rsid wsp:val=&quot;00703354&quot;/&gt;&lt;wsp:rsid wsp:val=&quot;007069B7&quot;/&gt;&lt;wsp:rsid wsp:val=&quot;00706E96&quot;/&gt;&lt;wsp:rsid wsp:val=&quot;00706FD1&quot;/&gt;&lt;wsp:rsid wsp:val=&quot;0070704E&quot;/&gt;&lt;wsp:rsid wsp:val=&quot;00707CAB&quot;/&gt;&lt;wsp:rsid wsp:val=&quot;00707F0A&quot;/&gt;&lt;wsp:rsid wsp:val=&quot;0071003D&quot;/&gt;&lt;wsp:rsid wsp:val=&quot;00710B68&quot;/&gt;&lt;wsp:rsid wsp:val=&quot;00710F99&quot;/&gt;&lt;wsp:rsid wsp:val=&quot;00711336&quot;/&gt;&lt;wsp:rsid wsp:val=&quot;007120A9&quot;/&gt;&lt;wsp:rsid wsp:val=&quot;00712EE9&quot;/&gt;&lt;wsp:rsid wsp:val=&quot;00714DA1&quot;/&gt;&lt;wsp:rsid wsp:val=&quot;00715789&quot;/&gt;&lt;wsp:rsid wsp:val=&quot;007159AE&quot;/&gt;&lt;wsp:rsid wsp:val=&quot;007159D3&quot;/&gt;&lt;wsp:rsid wsp:val=&quot;00716901&quot;/&gt;&lt;wsp:rsid wsp:val=&quot;00717ED3&quot;/&gt;&lt;wsp:rsid wsp:val=&quot;007203FC&quot;/&gt;&lt;wsp:rsid wsp:val=&quot;007206D6&quot;/&gt;&lt;wsp:rsid wsp:val=&quot;00720E95&quot;/&gt;&lt;wsp:rsid wsp:val=&quot;007249ED&quot;/&gt;&lt;wsp:rsid wsp:val=&quot;007251E8&quot;/&gt;&lt;wsp:rsid wsp:val=&quot;007267D2&quot;/&gt;&lt;wsp:rsid wsp:val=&quot;007268ED&quot;/&gt;&lt;wsp:rsid wsp:val=&quot;00730DE9&quot;/&gt;&lt;wsp:rsid wsp:val=&quot;00731D64&quot;/&gt;&lt;wsp:rsid wsp:val=&quot;0073257C&quot;/&gt;&lt;wsp:rsid wsp:val=&quot;007331A6&quot;/&gt;&lt;wsp:rsid wsp:val=&quot;0073499C&quot;/&gt;&lt;wsp:rsid wsp:val=&quot;007349BC&quot;/&gt;&lt;wsp:rsid wsp:val=&quot;007356AA&quot;/&gt;&lt;wsp:rsid wsp:val=&quot;007357B7&quot;/&gt;&lt;wsp:rsid wsp:val=&quot;00735A6A&quot;/&gt;&lt;wsp:rsid wsp:val=&quot;00735D2F&quot;/&gt;&lt;wsp:rsid wsp:val=&quot;0073689F&quot;/&gt;&lt;wsp:rsid wsp:val=&quot;00737077&quot;/&gt;&lt;wsp:rsid wsp:val=&quot;007400EE&quot;/&gt;&lt;wsp:rsid wsp:val=&quot;0074084E&quot;/&gt;&lt;wsp:rsid wsp:val=&quot;007411FF&quot;/&gt;&lt;wsp:rsid wsp:val=&quot;00741253&quot;/&gt;&lt;wsp:rsid wsp:val=&quot;00741358&quot;/&gt;&lt;wsp:rsid wsp:val=&quot;00741BB0&quot;/&gt;&lt;wsp:rsid wsp:val=&quot;00741F93&quot;/&gt;&lt;wsp:rsid wsp:val=&quot;00742917&quot;/&gt;&lt;wsp:rsid wsp:val=&quot;007436FC&quot;/&gt;&lt;wsp:rsid wsp:val=&quot;00743830&quot;/&gt;&lt;wsp:rsid wsp:val=&quot;00743BC6&quot;/&gt;&lt;wsp:rsid wsp:val=&quot;007446E1&quot;/&gt;&lt;wsp:rsid wsp:val=&quot;00744FFB&quot;/&gt;&lt;wsp:rsid wsp:val=&quot;007456C5&quot;/&gt;&lt;wsp:rsid wsp:val=&quot;00745A7C&quot;/&gt;&lt;wsp:rsid wsp:val=&quot;00746235&quot;/&gt;&lt;wsp:rsid wsp:val=&quot;00746A36&quot;/&gt;&lt;wsp:rsid wsp:val=&quot;007478D7&quot;/&gt;&lt;wsp:rsid wsp:val=&quot;0075111C&quot;/&gt;&lt;wsp:rsid wsp:val=&quot;007529F3&quot;/&gt;&lt;wsp:rsid wsp:val=&quot;00752ACD&quot;/&gt;&lt;wsp:rsid wsp:val=&quot;0075629F&quot;/&gt;&lt;wsp:rsid wsp:val=&quot;007578C3&quot;/&gt;&lt;wsp:rsid wsp:val=&quot;007601AE&quot;/&gt;&lt;wsp:rsid wsp:val=&quot;00760488&quot;/&gt;&lt;wsp:rsid wsp:val=&quot;00760D8B&quot;/&gt;&lt;wsp:rsid wsp:val=&quot;00763814&quot;/&gt;&lt;wsp:rsid wsp:val=&quot;00763ED9&quot;/&gt;&lt;wsp:rsid wsp:val=&quot;00765363&quot;/&gt;&lt;wsp:rsid wsp:val=&quot;0076594E&quot;/&gt;&lt;wsp:rsid wsp:val=&quot;007659CF&quot;/&gt;&lt;wsp:rsid wsp:val=&quot;00766406&quot;/&gt;&lt;wsp:rsid wsp:val=&quot;00767AB0&quot;/&gt;&lt;wsp:rsid wsp:val=&quot;00767D49&quot;/&gt;&lt;wsp:rsid wsp:val=&quot;007712AD&quot;/&gt;&lt;wsp:rsid wsp:val=&quot;00771F5E&quot;/&gt;&lt;wsp:rsid wsp:val=&quot;00775002&quot;/&gt;&lt;wsp:rsid wsp:val=&quot;00775A9A&quot;/&gt;&lt;wsp:rsid wsp:val=&quot;00783C36&quot;/&gt;&lt;wsp:rsid wsp:val=&quot;00783F52&quot;/&gt;&lt;wsp:rsid wsp:val=&quot;0078477F&quot;/&gt;&lt;wsp:rsid wsp:val=&quot;007848FF&quot;/&gt;&lt;wsp:rsid wsp:val=&quot;00785AD2&quot;/&gt;&lt;wsp:rsid wsp:val=&quot;0078637C&quot;/&gt;&lt;wsp:rsid wsp:val=&quot;00786E84&quot;/&gt;&lt;wsp:rsid wsp:val=&quot;00787122&quot;/&gt;&lt;wsp:rsid wsp:val=&quot;0078781A&quot;/&gt;&lt;wsp:rsid wsp:val=&quot;0079058B&quot;/&gt;&lt;wsp:rsid wsp:val=&quot;00792D5E&quot;/&gt;&lt;wsp:rsid wsp:val=&quot;0079402B&quot;/&gt;&lt;wsp:rsid wsp:val=&quot;007941A9&quot;/&gt;&lt;wsp:rsid wsp:val=&quot;00794949&quot;/&gt;&lt;wsp:rsid wsp:val=&quot;00796FF4&quot;/&gt;&lt;wsp:rsid wsp:val=&quot;007A0784&quot;/&gt;&lt;wsp:rsid wsp:val=&quot;007A09A6&quot;/&gt;&lt;wsp:rsid wsp:val=&quot;007A0B9A&quot;/&gt;&lt;wsp:rsid wsp:val=&quot;007A12CB&quot;/&gt;&lt;wsp:rsid wsp:val=&quot;007A1581&quot;/&gt;&lt;wsp:rsid wsp:val=&quot;007A1C4B&quot;/&gt;&lt;wsp:rsid wsp:val=&quot;007A20E4&quot;/&gt;&lt;wsp:rsid wsp:val=&quot;007A4536&quot;/&gt;&lt;wsp:rsid wsp:val=&quot;007A464A&quot;/&gt;&lt;wsp:rsid wsp:val=&quot;007A47B8&quot;/&gt;&lt;wsp:rsid wsp:val=&quot;007A6FAB&quot;/&gt;&lt;wsp:rsid wsp:val=&quot;007B0381&quot;/&gt;&lt;wsp:rsid wsp:val=&quot;007B1397&quot;/&gt;&lt;wsp:rsid wsp:val=&quot;007B1C65&quot;/&gt;&lt;wsp:rsid wsp:val=&quot;007B2044&quot;/&gt;&lt;wsp:rsid wsp:val=&quot;007B5654&quot;/&gt;&lt;wsp:rsid wsp:val=&quot;007B63B7&quot;/&gt;&lt;wsp:rsid wsp:val=&quot;007C028F&quot;/&gt;&lt;wsp:rsid wsp:val=&quot;007C134E&quot;/&gt;&lt;wsp:rsid wsp:val=&quot;007C240D&quot;/&gt;&lt;wsp:rsid wsp:val=&quot;007C360F&quot;/&gt;&lt;wsp:rsid wsp:val=&quot;007C3AA7&quot;/&gt;&lt;wsp:rsid wsp:val=&quot;007C3CCD&quot;/&gt;&lt;wsp:rsid wsp:val=&quot;007C6621&quot;/&gt;&lt;wsp:rsid wsp:val=&quot;007D0465&quot;/&gt;&lt;wsp:rsid wsp:val=&quot;007D1CE7&quot;/&gt;&lt;wsp:rsid wsp:val=&quot;007D2D44&quot;/&gt;&lt;wsp:rsid wsp:val=&quot;007D3F55&quot;/&gt;&lt;wsp:rsid wsp:val=&quot;007D402A&quot;/&gt;&lt;wsp:rsid wsp:val=&quot;007D44C4&quot;/&gt;&lt;wsp:rsid wsp:val=&quot;007D457C&quot;/&gt;&lt;wsp:rsid wsp:val=&quot;007D61A9&quot;/&gt;&lt;wsp:rsid wsp:val=&quot;007D6A50&quot;/&gt;&lt;wsp:rsid wsp:val=&quot;007D6AEA&quot;/&gt;&lt;wsp:rsid wsp:val=&quot;007D7196&quot;/&gt;&lt;wsp:rsid wsp:val=&quot;007D775F&quot;/&gt;&lt;wsp:rsid wsp:val=&quot;007E0956&quot;/&gt;&lt;wsp:rsid wsp:val=&quot;007E1A18&quot;/&gt;&lt;wsp:rsid wsp:val=&quot;007E31E6&quot;/&gt;&lt;wsp:rsid wsp:val=&quot;007E375B&quot;/&gt;&lt;wsp:rsid wsp:val=&quot;007E3B79&quot;/&gt;&lt;wsp:rsid wsp:val=&quot;007E42A4&quot;/&gt;&lt;wsp:rsid wsp:val=&quot;007E45E3&quot;/&gt;&lt;wsp:rsid wsp:val=&quot;007E5654&quot;/&gt;&lt;wsp:rsid wsp:val=&quot;007E5FAC&quot;/&gt;&lt;wsp:rsid wsp:val=&quot;007E60C8&quot;/&gt;&lt;wsp:rsid wsp:val=&quot;007E74EA&quot;/&gt;&lt;wsp:rsid wsp:val=&quot;007E76A5&quot;/&gt;&lt;wsp:rsid wsp:val=&quot;007F0B51&quot;/&gt;&lt;wsp:rsid wsp:val=&quot;007F1662&quot;/&gt;&lt;wsp:rsid wsp:val=&quot;007F2367&quot;/&gt;&lt;wsp:rsid wsp:val=&quot;007F2DE9&quot;/&gt;&lt;wsp:rsid wsp:val=&quot;007F33D9&quot;/&gt;&lt;wsp:rsid wsp:val=&quot;007F45F2&quot;/&gt;&lt;wsp:rsid wsp:val=&quot;007F4C9D&quot;/&gt;&lt;wsp:rsid wsp:val=&quot;007F5F59&quot;/&gt;&lt;wsp:rsid wsp:val=&quot;007F6137&quot;/&gt;&lt;wsp:rsid wsp:val=&quot;007F6C54&quot;/&gt;&lt;wsp:rsid wsp:val=&quot;007F7BC7&quot;/&gt;&lt;wsp:rsid wsp:val=&quot;00800003&quot;/&gt;&lt;wsp:rsid wsp:val=&quot;00800A03&quot;/&gt;&lt;wsp:rsid wsp:val=&quot;00800EC7&quot;/&gt;&lt;wsp:rsid wsp:val=&quot;00801C95&quot;/&gt;&lt;wsp:rsid wsp:val=&quot;00801CEE&quot;/&gt;&lt;wsp:rsid wsp:val=&quot;0080258D&quot;/&gt;&lt;wsp:rsid wsp:val=&quot;0080287B&quot;/&gt;&lt;wsp:rsid wsp:val=&quot;00802FD5&quot;/&gt;&lt;wsp:rsid wsp:val=&quot;00804215&quot;/&gt;&lt;wsp:rsid wsp:val=&quot;00806C9D&quot;/&gt;&lt;wsp:rsid wsp:val=&quot;00806F4E&quot;/&gt;&lt;wsp:rsid wsp:val=&quot;008075DA&quot;/&gt;&lt;wsp:rsid wsp:val=&quot;00807713&quot;/&gt;&lt;wsp:rsid wsp:val=&quot;00810B7B&quot;/&gt;&lt;wsp:rsid wsp:val=&quot;0081199D&quot;/&gt;&lt;wsp:rsid wsp:val=&quot;00812D4B&quot;/&gt;&lt;wsp:rsid wsp:val=&quot;008139D0&quot;/&gt;&lt;wsp:rsid wsp:val=&quot;00813B81&quot;/&gt;&lt;wsp:rsid wsp:val=&quot;00814C40&quot;/&gt;&lt;wsp:rsid wsp:val=&quot;008151B1&quot;/&gt;&lt;wsp:rsid wsp:val=&quot;00816893&quot;/&gt;&lt;wsp:rsid wsp:val=&quot;00816C41&quot;/&gt;&lt;wsp:rsid wsp:val=&quot;00816F86&quot;/&gt;&lt;wsp:rsid wsp:val=&quot;008213E0&quot;/&gt;&lt;wsp:rsid wsp:val=&quot;0082268C&quot;/&gt;&lt;wsp:rsid wsp:val=&quot;008237E3&quot;/&gt;&lt;wsp:rsid wsp:val=&quot;00823AB7&quot;/&gt;&lt;wsp:rsid wsp:val=&quot;00824037&quot;/&gt;&lt;wsp:rsid wsp:val=&quot;00824FE8&quot;/&gt;&lt;wsp:rsid wsp:val=&quot;00825BEA&quot;/&gt;&lt;wsp:rsid wsp:val=&quot;0082711B&quot;/&gt;&lt;wsp:rsid wsp:val=&quot;008274FD&quot;/&gt;&lt;wsp:rsid wsp:val=&quot;00827C6A&quot;/&gt;&lt;wsp:rsid wsp:val=&quot;00830E01&quot;/&gt;&lt;wsp:rsid wsp:val=&quot;00832D12&quot;/&gt;&lt;wsp:rsid wsp:val=&quot;00833492&quot;/&gt;&lt;wsp:rsid wsp:val=&quot;00833644&quot;/&gt;&lt;wsp:rsid wsp:val=&quot;0083528A&quot;/&gt;&lt;wsp:rsid wsp:val=&quot;00835A10&quot;/&gt;&lt;wsp:rsid wsp:val=&quot;00835C7D&quot;/&gt;&lt;wsp:rsid wsp:val=&quot;00837270&quot;/&gt;&lt;wsp:rsid wsp:val=&quot;0084156E&quot;/&gt;&lt;wsp:rsid wsp:val=&quot;00841B62&quot;/&gt;&lt;wsp:rsid wsp:val=&quot;00842D8A&quot;/&gt;&lt;wsp:rsid wsp:val=&quot;00842FC1&quot;/&gt;&lt;wsp:rsid wsp:val=&quot;008439D6&quot;/&gt;&lt;wsp:rsid wsp:val=&quot;008440CA&quot;/&gt;&lt;wsp:rsid wsp:val=&quot;008444A8&quot;/&gt;&lt;wsp:rsid wsp:val=&quot;0084483F&quot;/&gt;&lt;wsp:rsid wsp:val=&quot;00847D18&quot;/&gt;&lt;wsp:rsid wsp:val=&quot;00847D2C&quot;/&gt;&lt;wsp:rsid wsp:val=&quot;00850C9E&quot;/&gt;&lt;wsp:rsid wsp:val=&quot;008511BF&quot;/&gt;&lt;wsp:rsid wsp:val=&quot;00851262&quot;/&gt;&lt;wsp:rsid wsp:val=&quot;00852676&quot;/&gt;&lt;wsp:rsid wsp:val=&quot;00852730&quot;/&gt;&lt;wsp:rsid wsp:val=&quot;0085365C&quot;/&gt;&lt;wsp:rsid wsp:val=&quot;008538EF&quot;/&gt;&lt;wsp:rsid wsp:val=&quot;00854763&quot;/&gt;&lt;wsp:rsid wsp:val=&quot;008551CC&quot;/&gt;&lt;wsp:rsid wsp:val=&quot;0085522A&quot;/&gt;&lt;wsp:rsid wsp:val=&quot;00861195&quot;/&gt;&lt;wsp:rsid wsp:val=&quot;00862AE0&quot;/&gt;&lt;wsp:rsid wsp:val=&quot;00862E3A&quot;/&gt;&lt;wsp:rsid wsp:val=&quot;00865953&quot;/&gt;&lt;wsp:rsid wsp:val=&quot;00865AA7&quot;/&gt;&lt;wsp:rsid wsp:val=&quot;00865BAF&quot;/&gt;&lt;wsp:rsid wsp:val=&quot;008661CC&quot;/&gt;&lt;wsp:rsid wsp:val=&quot;00866255&quot;/&gt;&lt;wsp:rsid wsp:val=&quot;00867433&quot;/&gt;&lt;wsp:rsid wsp:val=&quot;00867845&quot;/&gt;&lt;wsp:rsid wsp:val=&quot;008711E5&quot;/&gt;&lt;wsp:rsid wsp:val=&quot;008723C3&quot;/&gt;&lt;wsp:rsid wsp:val=&quot;008727AD&quot;/&gt;&lt;wsp:rsid wsp:val=&quot;00873A3D&quot;/&gt;&lt;wsp:rsid wsp:val=&quot;00873FED&quot;/&gt;&lt;wsp:rsid wsp:val=&quot;00874CD5&quot;/&gt;&lt;wsp:rsid wsp:val=&quot;00874F8C&quot;/&gt;&lt;wsp:rsid wsp:val=&quot;0087724E&quot;/&gt;&lt;wsp:rsid wsp:val=&quot;00881457&quot;/&gt;&lt;wsp:rsid wsp:val=&quot;00881D38&quot;/&gt;&lt;wsp:rsid wsp:val=&quot;0088324D&quot;/&gt;&lt;wsp:rsid wsp:val=&quot;00883428&quot;/&gt;&lt;wsp:rsid wsp:val=&quot;00884D7F&quot;/&gt;&lt;wsp:rsid wsp:val=&quot;00885458&quot;/&gt;&lt;wsp:rsid wsp:val=&quot;0089116B&quot;/&gt;&lt;wsp:rsid wsp:val=&quot;0089125C&quot;/&gt;&lt;wsp:rsid wsp:val=&quot;00893BE2&quot;/&gt;&lt;wsp:rsid wsp:val=&quot;00893C36&quot;/&gt;&lt;wsp:rsid wsp:val=&quot;00894241&quot;/&gt;&lt;wsp:rsid wsp:val=&quot;00894DAA&quot;/&gt;&lt;wsp:rsid wsp:val=&quot;008956C3&quot;/&gt;&lt;wsp:rsid wsp:val=&quot;0089574F&quot;/&gt;&lt;wsp:rsid wsp:val=&quot;00895DEB&quot;/&gt;&lt;wsp:rsid wsp:val=&quot;00896A76&quot;/&gt;&lt;wsp:rsid wsp:val=&quot;008976BC&quot;/&gt;&lt;wsp:rsid wsp:val=&quot;008A0384&quot;/&gt;&lt;wsp:rsid wsp:val=&quot;008A0A66&quot;/&gt;&lt;wsp:rsid wsp:val=&quot;008A1D97&quot;/&gt;&lt;wsp:rsid wsp:val=&quot;008A349B&quot;/&gt;&lt;wsp:rsid wsp:val=&quot;008A3802&quot;/&gt;&lt;wsp:rsid wsp:val=&quot;008A4200&quot;/&gt;&lt;wsp:rsid wsp:val=&quot;008A54F2&quot;/&gt;&lt;wsp:rsid wsp:val=&quot;008A5DDC&quot;/&gt;&lt;wsp:rsid wsp:val=&quot;008A5FD0&quot;/&gt;&lt;wsp:rsid wsp:val=&quot;008B0D44&quot;/&gt;&lt;wsp:rsid wsp:val=&quot;008B1191&quot;/&gt;&lt;wsp:rsid wsp:val=&quot;008B2BCA&quot;/&gt;&lt;wsp:rsid wsp:val=&quot;008B4BFF&quot;/&gt;&lt;wsp:rsid wsp:val=&quot;008B5582&quot;/&gt;&lt;wsp:rsid wsp:val=&quot;008B7236&quot;/&gt;&lt;wsp:rsid wsp:val=&quot;008B752F&quot;/&gt;&lt;wsp:rsid wsp:val=&quot;008C0579&quot;/&gt;&lt;wsp:rsid wsp:val=&quot;008C247E&quot;/&gt;&lt;wsp:rsid wsp:val=&quot;008C2562&quot;/&gt;&lt;wsp:rsid wsp:val=&quot;008C4030&quot;/&gt;&lt;wsp:rsid wsp:val=&quot;008C4745&quot;/&gt;&lt;wsp:rsid wsp:val=&quot;008C4811&quot;/&gt;&lt;wsp:rsid wsp:val=&quot;008C4C66&quot;/&gt;&lt;wsp:rsid wsp:val=&quot;008C529A&quot;/&gt;&lt;wsp:rsid wsp:val=&quot;008C5C3F&quot;/&gt;&lt;wsp:rsid wsp:val=&quot;008C6A0F&quot;/&gt;&lt;wsp:rsid wsp:val=&quot;008C6AED&quot;/&gt;&lt;wsp:rsid wsp:val=&quot;008C757E&quot;/&gt;&lt;wsp:rsid wsp:val=&quot;008C777B&quot;/&gt;&lt;wsp:rsid wsp:val=&quot;008C7F9E&quot;/&gt;&lt;wsp:rsid wsp:val=&quot;008D0075&quot;/&gt;&lt;wsp:rsid wsp:val=&quot;008D0160&quot;/&gt;&lt;wsp:rsid wsp:val=&quot;008D1571&quot;/&gt;&lt;wsp:rsid wsp:val=&quot;008D2307&quot;/&gt;&lt;wsp:rsid wsp:val=&quot;008D2BC7&quot;/&gt;&lt;wsp:rsid wsp:val=&quot;008D4898&quot;/&gt;&lt;wsp:rsid wsp:val=&quot;008D4C42&quot;/&gt;&lt;wsp:rsid wsp:val=&quot;008D5A62&quot;/&gt;&lt;wsp:rsid wsp:val=&quot;008D6494&quot;/&gt;&lt;wsp:rsid wsp:val=&quot;008D7057&quot;/&gt;&lt;wsp:rsid wsp:val=&quot;008D789A&quot;/&gt;&lt;wsp:rsid wsp:val=&quot;008E0428&quot;/&gt;&lt;wsp:rsid wsp:val=&quot;008E052C&quot;/&gt;&lt;wsp:rsid wsp:val=&quot;008E0BD8&quot;/&gt;&lt;wsp:rsid wsp:val=&quot;008E1748&quot;/&gt;&lt;wsp:rsid wsp:val=&quot;008E2ACD&quot;/&gt;&lt;wsp:rsid wsp:val=&quot;008E2FC7&quot;/&gt;&lt;wsp:rsid wsp:val=&quot;008E3128&quot;/&gt;&lt;wsp:rsid wsp:val=&quot;008E5FBC&quot;/&gt;&lt;wsp:rsid wsp:val=&quot;008E6AD7&quot;/&gt;&lt;wsp:rsid wsp:val=&quot;008E70A4&quot;/&gt;&lt;wsp:rsid wsp:val=&quot;008E7533&quot;/&gt;&lt;wsp:rsid wsp:val=&quot;008F08FF&quot;/&gt;&lt;wsp:rsid wsp:val=&quot;008F090C&quot;/&gt;&lt;wsp:rsid wsp:val=&quot;008F092F&quot;/&gt;&lt;wsp:rsid wsp:val=&quot;008F2821&quot;/&gt;&lt;wsp:rsid wsp:val=&quot;008F40D8&quot;/&gt;&lt;wsp:rsid wsp:val=&quot;008F655A&quot;/&gt;&lt;wsp:rsid wsp:val=&quot;008F68F3&quot;/&gt;&lt;wsp:rsid wsp:val=&quot;008F6E5A&quot;/&gt;&lt;wsp:rsid wsp:val=&quot;008F7050&quot;/&gt;&lt;wsp:rsid wsp:val=&quot;008F7063&quot;/&gt;&lt;wsp:rsid wsp:val=&quot;0090006F&quot;/&gt;&lt;wsp:rsid wsp:val=&quot;00900763&quot;/&gt;&lt;wsp:rsid wsp:val=&quot;009010D5&quot;/&gt;&lt;wsp:rsid wsp:val=&quot;00903814&quot;/&gt;&lt;wsp:rsid wsp:val=&quot;0090456E&quot;/&gt;&lt;wsp:rsid wsp:val=&quot;009050D5&quot;/&gt;&lt;wsp:rsid wsp:val=&quot;009058DE&quot;/&gt;&lt;wsp:rsid wsp:val=&quot;00906CBB&quot;/&gt;&lt;wsp:rsid wsp:val=&quot;0090732E&quot;/&gt;&lt;wsp:rsid wsp:val=&quot;00910279&quot;/&gt;&lt;wsp:rsid wsp:val=&quot;009109D5&quot;/&gt;&lt;wsp:rsid wsp:val=&quot;00910CFA&quot;/&gt;&lt;wsp:rsid wsp:val=&quot;009117AA&quot;/&gt;&lt;wsp:rsid wsp:val=&quot;009120AF&quot;/&gt;&lt;wsp:rsid wsp:val=&quot;009135CF&quot;/&gt;&lt;wsp:rsid wsp:val=&quot;00913646&quot;/&gt;&lt;wsp:rsid wsp:val=&quot;00915E53&quot;/&gt;&lt;wsp:rsid wsp:val=&quot;0091687D&quot;/&gt;&lt;wsp:rsid wsp:val=&quot;00916D36&quot;/&gt;&lt;wsp:rsid wsp:val=&quot;00920C96&quot;/&gt;&lt;wsp:rsid wsp:val=&quot;00921934&quot;/&gt;&lt;wsp:rsid wsp:val=&quot;00922A9D&quot;/&gt;&lt;wsp:rsid wsp:val=&quot;00922CBE&quot;/&gt;&lt;wsp:rsid wsp:val=&quot;00923C03&quot;/&gt;&lt;wsp:rsid wsp:val=&quot;0092413B&quot;/&gt;&lt;wsp:rsid wsp:val=&quot;00925663&quot;/&gt;&lt;wsp:rsid wsp:val=&quot;00927238&quot;/&gt;&lt;wsp:rsid wsp:val=&quot;0093412B&quot;/&gt;&lt;wsp:rsid wsp:val=&quot;009369DD&quot;/&gt;&lt;wsp:rsid wsp:val=&quot;009400C7&quot;/&gt;&lt;wsp:rsid wsp:val=&quot;00941127&quot;/&gt;&lt;wsp:rsid wsp:val=&quot;00941DA2&quot;/&gt;&lt;wsp:rsid wsp:val=&quot;00942484&quot;/&gt;&lt;wsp:rsid wsp:val=&quot;00943649&quot;/&gt;&lt;wsp:rsid wsp:val=&quot;00944BED&quot;/&gt;&lt;wsp:rsid wsp:val=&quot;009453B6&quot;/&gt;&lt;wsp:rsid wsp:val=&quot;00947140&quot;/&gt;&lt;wsp:rsid wsp:val=&quot;00950C49&quot;/&gt;&lt;wsp:rsid wsp:val=&quot;0095107C&quot;/&gt;&lt;wsp:rsid wsp:val=&quot;009520D2&quot;/&gt;&lt;wsp:rsid wsp:val=&quot;00952EB0&quot;/&gt;&lt;wsp:rsid wsp:val=&quot;0095321B&quot;/&gt;&lt;wsp:rsid wsp:val=&quot;00953F92&quot;/&gt;&lt;wsp:rsid wsp:val=&quot;00954D1F&quot;/&gt;&lt;wsp:rsid wsp:val=&quot;00955751&quot;/&gt;&lt;wsp:rsid wsp:val=&quot;00956646&quot;/&gt;&lt;wsp:rsid wsp:val=&quot;00956E71&quot;/&gt;&lt;wsp:rsid wsp:val=&quot;00957645&quot;/&gt;&lt;wsp:rsid wsp:val=&quot;00957BC2&quot;/&gt;&lt;wsp:rsid wsp:val=&quot;00957C69&quot;/&gt;&lt;wsp:rsid wsp:val=&quot;00957FE3&quot;/&gt;&lt;wsp:rsid wsp:val=&quot;0096003D&quot;/&gt;&lt;wsp:rsid wsp:val=&quot;009607A6&quot;/&gt;&lt;wsp:rsid wsp:val=&quot;00961054&quot;/&gt;&lt;wsp:rsid wsp:val=&quot;00961E63&quot;/&gt;&lt;wsp:rsid wsp:val=&quot;009634DD&quot;/&gt;&lt;wsp:rsid wsp:val=&quot;00963F9A&quot;/&gt;&lt;wsp:rsid wsp:val=&quot;00966569&quot;/&gt;&lt;wsp:rsid wsp:val=&quot;009671CD&quot;/&gt;&lt;wsp:rsid wsp:val=&quot;00967BD9&quot;/&gt;&lt;wsp:rsid wsp:val=&quot;0097036A&quot;/&gt;&lt;wsp:rsid wsp:val=&quot;009708A5&quot;/&gt;&lt;wsp:rsid wsp:val=&quot;009711D3&quot;/&gt;&lt;wsp:rsid wsp:val=&quot;00971518&quot;/&gt;&lt;wsp:rsid wsp:val=&quot;00972221&quot;/&gt;&lt;wsp:rsid wsp:val=&quot;00972524&quot;/&gt;&lt;wsp:rsid wsp:val=&quot;00972574&quot;/&gt;&lt;wsp:rsid wsp:val=&quot;00972CCD&quot;/&gt;&lt;wsp:rsid wsp:val=&quot;009735E8&quot;/&gt;&lt;wsp:rsid wsp:val=&quot;009740FB&quot;/&gt;&lt;wsp:rsid wsp:val=&quot;00974C7C&quot;/&gt;&lt;wsp:rsid wsp:val=&quot;00974DAF&quot;/&gt;&lt;wsp:rsid wsp:val=&quot;009767B0&quot;/&gt;&lt;wsp:rsid wsp:val=&quot;00977953&quot;/&gt;&lt;wsp:rsid wsp:val=&quot;00977B3D&quot;/&gt;&lt;wsp:rsid wsp:val=&quot;00977FB5&quot;/&gt;&lt;wsp:rsid wsp:val=&quot;00981DC6&quot;/&gt;&lt;wsp:rsid wsp:val=&quot;0098201A&quot;/&gt;&lt;wsp:rsid wsp:val=&quot;00983D38&quot;/&gt;&lt;wsp:rsid wsp:val=&quot;00984359&quot;/&gt;&lt;wsp:rsid wsp:val=&quot;0098592B&quot;/&gt;&lt;wsp:rsid wsp:val=&quot;00986C3C&quot;/&gt;&lt;wsp:rsid wsp:val=&quot;00990BD1&quot;/&gt;&lt;wsp:rsid wsp:val=&quot;00993110&quot;/&gt;&lt;wsp:rsid wsp:val=&quot;00994096&quot;/&gt;&lt;wsp:rsid wsp:val=&quot;00994862&quot;/&gt;&lt;wsp:rsid wsp:val=&quot;00995B29&quot;/&gt;&lt;wsp:rsid wsp:val=&quot;009964F2&quot;/&gt;&lt;wsp:rsid wsp:val=&quot;009A0865&quot;/&gt;&lt;wsp:rsid wsp:val=&quot;009A1ACC&quot;/&gt;&lt;wsp:rsid wsp:val=&quot;009A2A6F&quot;/&gt;&lt;wsp:rsid wsp:val=&quot;009A2D43&quot;/&gt;&lt;wsp:rsid wsp:val=&quot;009A2E3F&quot;/&gt;&lt;wsp:rsid wsp:val=&quot;009A338E&quot;/&gt;&lt;wsp:rsid wsp:val=&quot;009A3815&quot;/&gt;&lt;wsp:rsid wsp:val=&quot;009A41ED&quot;/&gt;&lt;wsp:rsid wsp:val=&quot;009A45E6&quot;/&gt;&lt;wsp:rsid wsp:val=&quot;009A4B78&quot;/&gt;&lt;wsp:rsid wsp:val=&quot;009A666E&quot;/&gt;&lt;wsp:rsid wsp:val=&quot;009B154D&quot;/&gt;&lt;wsp:rsid wsp:val=&quot;009B26AC&quot;/&gt;&lt;wsp:rsid wsp:val=&quot;009B50E4&quot;/&gt;&lt;wsp:rsid wsp:val=&quot;009B5640&quot;/&gt;&lt;wsp:rsid wsp:val=&quot;009B63BE&quot;/&gt;&lt;wsp:rsid wsp:val=&quot;009B68AE&quot;/&gt;&lt;wsp:rsid wsp:val=&quot;009C1370&quot;/&gt;&lt;wsp:rsid wsp:val=&quot;009C29D1&quot;/&gt;&lt;wsp:rsid wsp:val=&quot;009C3563&quot;/&gt;&lt;wsp:rsid wsp:val=&quot;009C528C&quot;/&gt;&lt;wsp:rsid wsp:val=&quot;009C52F1&quot;/&gt;&lt;wsp:rsid wsp:val=&quot;009C666F&quot;/&gt;&lt;wsp:rsid wsp:val=&quot;009C6B02&quot;/&gt;&lt;wsp:rsid wsp:val=&quot;009D0A16&quot;/&gt;&lt;wsp:rsid wsp:val=&quot;009D36B3&quot;/&gt;&lt;wsp:rsid wsp:val=&quot;009D41DA&quot;/&gt;&lt;wsp:rsid wsp:val=&quot;009D52D4&quot;/&gt;&lt;wsp:rsid wsp:val=&quot;009D6522&quot;/&gt;&lt;wsp:rsid wsp:val=&quot;009D724D&quot;/&gt;&lt;wsp:rsid wsp:val=&quot;009E11C6&quot;/&gt;&lt;wsp:rsid wsp:val=&quot;009E17F8&quot;/&gt;&lt;wsp:rsid wsp:val=&quot;009E2219&quot;/&gt;&lt;wsp:rsid wsp:val=&quot;009E2815&quot;/&gt;&lt;wsp:rsid wsp:val=&quot;009E2FDE&quot;/&gt;&lt;wsp:rsid wsp:val=&quot;009E409F&quot;/&gt;&lt;wsp:rsid wsp:val=&quot;009E4144&quot;/&gt;&lt;wsp:rsid wsp:val=&quot;009E6195&quot;/&gt;&lt;wsp:rsid wsp:val=&quot;009E7B69&quot;/&gt;&lt;wsp:rsid wsp:val=&quot;009E7D0E&quot;/&gt;&lt;wsp:rsid wsp:val=&quot;009F05B2&quot;/&gt;&lt;wsp:rsid wsp:val=&quot;009F0F8C&quot;/&gt;&lt;wsp:rsid wsp:val=&quot;009F1089&quot;/&gt;&lt;wsp:rsid wsp:val=&quot;009F1398&quot;/&gt;&lt;wsp:rsid wsp:val=&quot;009F2352&quot;/&gt;&lt;wsp:rsid wsp:val=&quot;009F4DD3&quot;/&gt;&lt;wsp:rsid wsp:val=&quot;009F611A&quot;/&gt;&lt;wsp:rsid wsp:val=&quot;009F634D&quot;/&gt;&lt;wsp:rsid wsp:val=&quot;009F6594&quot;/&gt;&lt;wsp:rsid wsp:val=&quot;009F7949&quot;/&gt;&lt;wsp:rsid wsp:val=&quot;009F7F34&quot;/&gt;&lt;wsp:rsid wsp:val=&quot;00A002EC&quot;/&gt;&lt;wsp:rsid wsp:val=&quot;00A0127A&quot;/&gt;&lt;wsp:rsid wsp:val=&quot;00A0288A&quot;/&gt;&lt;wsp:rsid wsp:val=&quot;00A03242&quot;/&gt;&lt;wsp:rsid wsp:val=&quot;00A03562&quot;/&gt;&lt;wsp:rsid wsp:val=&quot;00A03869&quot;/&gt;&lt;wsp:rsid wsp:val=&quot;00A0503A&quot;/&gt;&lt;wsp:rsid wsp:val=&quot;00A0513E&quot;/&gt;&lt;wsp:rsid wsp:val=&quot;00A066EC&quot;/&gt;&lt;wsp:rsid wsp:val=&quot;00A06DD0&quot;/&gt;&lt;wsp:rsid wsp:val=&quot;00A072A4&quot;/&gt;&lt;wsp:rsid wsp:val=&quot;00A079B5&quot;/&gt;&lt;wsp:rsid wsp:val=&quot;00A114D4&quot;/&gt;&lt;wsp:rsid wsp:val=&quot;00A12F4A&quot;/&gt;&lt;wsp:rsid wsp:val=&quot;00A132A2&quot;/&gt;&lt;wsp:rsid wsp:val=&quot;00A15263&quot;/&gt;&lt;wsp:rsid wsp:val=&quot;00A16E4A&quot;/&gt;&lt;wsp:rsid wsp:val=&quot;00A17348&quot;/&gt;&lt;wsp:rsid wsp:val=&quot;00A1747C&quot;/&gt;&lt;wsp:rsid wsp:val=&quot;00A206D7&quot;/&gt;&lt;wsp:rsid wsp:val=&quot;00A2103B&quot;/&gt;&lt;wsp:rsid wsp:val=&quot;00A21A6D&quot;/&gt;&lt;wsp:rsid wsp:val=&quot;00A22182&quot;/&gt;&lt;wsp:rsid wsp:val=&quot;00A22DF3&quot;/&gt;&lt;wsp:rsid wsp:val=&quot;00A23E35&quot;/&gt;&lt;wsp:rsid wsp:val=&quot;00A24943&quot;/&gt;&lt;wsp:rsid wsp:val=&quot;00A24F09&quot;/&gt;&lt;wsp:rsid wsp:val=&quot;00A2607F&quot;/&gt;&lt;wsp:rsid wsp:val=&quot;00A2695E&quot;/&gt;&lt;wsp:rsid wsp:val=&quot;00A27CB8&quot;/&gt;&lt;wsp:rsid wsp:val=&quot;00A30E48&quot;/&gt;&lt;wsp:rsid wsp:val=&quot;00A32560&quot;/&gt;&lt;wsp:rsid wsp:val=&quot;00A35FA8&quot;/&gt;&lt;wsp:rsid wsp:val=&quot;00A36C43&quot;/&gt;&lt;wsp:rsid wsp:val=&quot;00A37C95&quot;/&gt;&lt;wsp:rsid wsp:val=&quot;00A4092C&quot;/&gt;&lt;wsp:rsid wsp:val=&quot;00A419CF&quot;/&gt;&lt;wsp:rsid wsp:val=&quot;00A41C1A&quot;/&gt;&lt;wsp:rsid wsp:val=&quot;00A4249E&quot;/&gt;&lt;wsp:rsid wsp:val=&quot;00A44DEE&quot;/&gt;&lt;wsp:rsid wsp:val=&quot;00A45096&quot;/&gt;&lt;wsp:rsid wsp:val=&quot;00A45599&quot;/&gt;&lt;wsp:rsid wsp:val=&quot;00A45B14&quot;/&gt;&lt;wsp:rsid wsp:val=&quot;00A50060&quot;/&gt;&lt;wsp:rsid wsp:val=&quot;00A50564&quot;/&gt;&lt;wsp:rsid wsp:val=&quot;00A52CAE&quot;/&gt;&lt;wsp:rsid wsp:val=&quot;00A54350&quot;/&gt;&lt;wsp:rsid wsp:val=&quot;00A54E80&quot;/&gt;&lt;wsp:rsid wsp:val=&quot;00A57508&quot;/&gt;&lt;wsp:rsid wsp:val=&quot;00A57793&quot;/&gt;&lt;wsp:rsid wsp:val=&quot;00A60C03&quot;/&gt;&lt;wsp:rsid wsp:val=&quot;00A62E30&quot;/&gt;&lt;wsp:rsid wsp:val=&quot;00A6386A&quot;/&gt;&lt;wsp:rsid wsp:val=&quot;00A641B8&quot;/&gt;&lt;wsp:rsid wsp:val=&quot;00A65754&quot;/&gt;&lt;wsp:rsid wsp:val=&quot;00A66080&quot;/&gt;&lt;wsp:rsid wsp:val=&quot;00A669DA&quot;/&gt;&lt;wsp:rsid wsp:val=&quot;00A67471&quot;/&gt;&lt;wsp:rsid wsp:val=&quot;00A67DB7&quot;/&gt;&lt;wsp:rsid wsp:val=&quot;00A714E9&quot;/&gt;&lt;wsp:rsid wsp:val=&quot;00A715FE&quot;/&gt;&lt;wsp:rsid wsp:val=&quot;00A71F03&quot;/&gt;&lt;wsp:rsid wsp:val=&quot;00A7202D&quot;/&gt;&lt;wsp:rsid wsp:val=&quot;00A73FDD&quot;/&gt;&lt;wsp:rsid wsp:val=&quot;00A75EC1&quot;/&gt;&lt;wsp:rsid wsp:val=&quot;00A76F89&quot;/&gt;&lt;wsp:rsid wsp:val=&quot;00A7771C&quot;/&gt;&lt;wsp:rsid wsp:val=&quot;00A80E7C&quot;/&gt;&lt;wsp:rsid wsp:val=&quot;00A812A7&quot;/&gt;&lt;wsp:rsid wsp:val=&quot;00A81DF6&quot;/&gt;&lt;wsp:rsid wsp:val=&quot;00A826BF&quot;/&gt;&lt;wsp:rsid wsp:val=&quot;00A85DCC&quot;/&gt;&lt;wsp:rsid wsp:val=&quot;00A85E5A&quot;/&gt;&lt;wsp:rsid wsp:val=&quot;00A87BA8&quot;/&gt;&lt;wsp:rsid wsp:val=&quot;00A87CBE&quot;/&gt;&lt;wsp:rsid wsp:val=&quot;00A929F6&quot;/&gt;&lt;wsp:rsid wsp:val=&quot;00A92AD9&quot;/&gt;&lt;wsp:rsid wsp:val=&quot;00A95069&quot;/&gt;&lt;wsp:rsid wsp:val=&quot;00A95E7D&quot;/&gt;&lt;wsp:rsid wsp:val=&quot;00A96A66&quot;/&gt;&lt;wsp:rsid wsp:val=&quot;00A96E1A&quot;/&gt;&lt;wsp:rsid wsp:val=&quot;00A96F39&quot;/&gt;&lt;wsp:rsid wsp:val=&quot;00A97345&quot;/&gt;&lt;wsp:rsid wsp:val=&quot;00AA0928&quot;/&gt;&lt;wsp:rsid wsp:val=&quot;00AA1412&quot;/&gt;&lt;wsp:rsid wsp:val=&quot;00AA1752&quot;/&gt;&lt;wsp:rsid wsp:val=&quot;00AA1B29&quot;/&gt;&lt;wsp:rsid wsp:val=&quot;00AA1EDC&quot;/&gt;&lt;wsp:rsid wsp:val=&quot;00AA2449&quot;/&gt;&lt;wsp:rsid wsp:val=&quot;00AA29AF&quot;/&gt;&lt;wsp:rsid wsp:val=&quot;00AA322C&quot;/&gt;&lt;wsp:rsid wsp:val=&quot;00AA3307&quot;/&gt;&lt;wsp:rsid wsp:val=&quot;00AA3C9F&quot;/&gt;&lt;wsp:rsid wsp:val=&quot;00AA4649&quot;/&gt;&lt;wsp:rsid wsp:val=&quot;00AA7835&quot;/&gt;&lt;wsp:rsid wsp:val=&quot;00AA7FCA&quot;/&gt;&lt;wsp:rsid wsp:val=&quot;00AB0FF2&quot;/&gt;&lt;wsp:rsid wsp:val=&quot;00AB2335&quot;/&gt;&lt;wsp:rsid wsp:val=&quot;00AB329D&quot;/&gt;&lt;wsp:rsid wsp:val=&quot;00AB39DD&quot;/&gt;&lt;wsp:rsid wsp:val=&quot;00AB3CD8&quot;/&gt;&lt;wsp:rsid wsp:val=&quot;00AB6154&quot;/&gt;&lt;wsp:rsid wsp:val=&quot;00AC0B3D&quot;/&gt;&lt;wsp:rsid wsp:val=&quot;00AC41FD&quot;/&gt;&lt;wsp:rsid wsp:val=&quot;00AC45B9&quot;/&gt;&lt;wsp:rsid wsp:val=&quot;00AC5069&quot;/&gt;&lt;wsp:rsid wsp:val=&quot;00AC515E&quot;/&gt;&lt;wsp:rsid wsp:val=&quot;00AC539E&quot;/&gt;&lt;wsp:rsid wsp:val=&quot;00AC5F9F&quot;/&gt;&lt;wsp:rsid wsp:val=&quot;00AC602B&quot;/&gt;&lt;wsp:rsid wsp:val=&quot;00AC7D55&quot;/&gt;&lt;wsp:rsid wsp:val=&quot;00AD1C4A&quot;/&gt;&lt;wsp:rsid wsp:val=&quot;00AD2F11&quot;/&gt;&lt;wsp:rsid wsp:val=&quot;00AD32C2&quot;/&gt;&lt;wsp:rsid wsp:val=&quot;00AD570C&quot;/&gt;&lt;wsp:rsid wsp:val=&quot;00AD5A48&quot;/&gt;&lt;wsp:rsid wsp:val=&quot;00AD6587&quot;/&gt;&lt;wsp:rsid wsp:val=&quot;00AD7391&quot;/&gt;&lt;wsp:rsid wsp:val=&quot;00AD74BF&quot;/&gt;&lt;wsp:rsid wsp:val=&quot;00AE1DC1&quot;/&gt;&lt;wsp:rsid wsp:val=&quot;00AE25DB&quot;/&gt;&lt;wsp:rsid wsp:val=&quot;00AE3533&quot;/&gt;&lt;wsp:rsid wsp:val=&quot;00AE5140&quot;/&gt;&lt;wsp:rsid wsp:val=&quot;00AE528F&quot;/&gt;&lt;wsp:rsid wsp:val=&quot;00AE570E&quot;/&gt;&lt;wsp:rsid wsp:val=&quot;00AE5D4F&quot;/&gt;&lt;wsp:rsid wsp:val=&quot;00AE6100&quot;/&gt;&lt;wsp:rsid wsp:val=&quot;00AE623A&quot;/&gt;&lt;wsp:rsid wsp:val=&quot;00AE656E&quot;/&gt;&lt;wsp:rsid wsp:val=&quot;00AE7570&quot;/&gt;&lt;wsp:rsid wsp:val=&quot;00AF08B8&quot;/&gt;&lt;wsp:rsid wsp:val=&quot;00AF0D34&quot;/&gt;&lt;wsp:rsid wsp:val=&quot;00AF144E&quot;/&gt;&lt;wsp:rsid wsp:val=&quot;00AF15AA&quot;/&gt;&lt;wsp:rsid wsp:val=&quot;00AF2926&quot;/&gt;&lt;wsp:rsid wsp:val=&quot;00AF2ABD&quot;/&gt;&lt;wsp:rsid wsp:val=&quot;00AF3F4B&quot;/&gt;&lt;wsp:rsid wsp:val=&quot;00AF45D1&quot;/&gt;&lt;wsp:rsid wsp:val=&quot;00AF4AA0&quot;/&gt;&lt;wsp:rsid wsp:val=&quot;00AF4B9F&quot;/&gt;&lt;wsp:rsid wsp:val=&quot;00AF5DA0&quot;/&gt;&lt;wsp:rsid wsp:val=&quot;00AF5DBE&quot;/&gt;&lt;wsp:rsid wsp:val=&quot;00AF65F2&quot;/&gt;&lt;wsp:rsid wsp:val=&quot;00AF6749&quot;/&gt;&lt;wsp:rsid wsp:val=&quot;00AF68BD&quot;/&gt;&lt;wsp:rsid wsp:val=&quot;00AF6D81&quot;/&gt;&lt;wsp:rsid wsp:val=&quot;00AF6EBF&quot;/&gt;&lt;wsp:rsid wsp:val=&quot;00AF6F7F&quot;/&gt;&lt;wsp:rsid wsp:val=&quot;00AF7544&quot;/&gt;&lt;wsp:rsid wsp:val=&quot;00B0037B&quot;/&gt;&lt;wsp:rsid wsp:val=&quot;00B00899&quot;/&gt;&lt;wsp:rsid wsp:val=&quot;00B01EA0&quot;/&gt;&lt;wsp:rsid wsp:val=&quot;00B01F9A&quot;/&gt;&lt;wsp:rsid wsp:val=&quot;00B0216D&quot;/&gt;&lt;wsp:rsid wsp:val=&quot;00B03346&quot;/&gt;&lt;wsp:rsid wsp:val=&quot;00B034AC&quot;/&gt;&lt;wsp:rsid wsp:val=&quot;00B047D9&quot;/&gt;&lt;wsp:rsid wsp:val=&quot;00B04839&quot;/&gt;&lt;wsp:rsid wsp:val=&quot;00B052C3&quot;/&gt;&lt;wsp:rsid wsp:val=&quot;00B05D97&quot;/&gt;&lt;wsp:rsid wsp:val=&quot;00B07CA0&quot;/&gt;&lt;wsp:rsid wsp:val=&quot;00B11565&quot;/&gt;&lt;wsp:rsid wsp:val=&quot;00B1179D&quot;/&gt;&lt;wsp:rsid wsp:val=&quot;00B11988&quot;/&gt;&lt;wsp:rsid wsp:val=&quot;00B1379A&quot;/&gt;&lt;wsp:rsid wsp:val=&quot;00B13DB1&quot;/&gt;&lt;wsp:rsid wsp:val=&quot;00B17D03&quot;/&gt;&lt;wsp:rsid wsp:val=&quot;00B209E3&quot;/&gt;&lt;wsp:rsid wsp:val=&quot;00B2115D&quot;/&gt;&lt;wsp:rsid wsp:val=&quot;00B21E5B&quot;/&gt;&lt;wsp:rsid wsp:val=&quot;00B23688&quot;/&gt;&lt;wsp:rsid wsp:val=&quot;00B238BD&quot;/&gt;&lt;wsp:rsid wsp:val=&quot;00B23B30&quot;/&gt;&lt;wsp:rsid wsp:val=&quot;00B24774&quot;/&gt;&lt;wsp:rsid wsp:val=&quot;00B248DD&quot;/&gt;&lt;wsp:rsid wsp:val=&quot;00B25616&quot;/&gt;&lt;wsp:rsid wsp:val=&quot;00B300E7&quot;/&gt;&lt;wsp:rsid wsp:val=&quot;00B306DF&quot;/&gt;&lt;wsp:rsid wsp:val=&quot;00B322F1&quot;/&gt;&lt;wsp:rsid wsp:val=&quot;00B337E3&quot;/&gt;&lt;wsp:rsid wsp:val=&quot;00B33E4C&quot;/&gt;&lt;wsp:rsid wsp:val=&quot;00B34272&quot;/&gt;&lt;wsp:rsid wsp:val=&quot;00B34D03&quot;/&gt;&lt;wsp:rsid wsp:val=&quot;00B37050&quot;/&gt;&lt;wsp:rsid wsp:val=&quot;00B37E7C&quot;/&gt;&lt;wsp:rsid wsp:val=&quot;00B40822&quot;/&gt;&lt;wsp:rsid wsp:val=&quot;00B40DBA&quot;/&gt;&lt;wsp:rsid wsp:val=&quot;00B41091&quot;/&gt;&lt;wsp:rsid wsp:val=&quot;00B41E99&quot;/&gt;&lt;wsp:rsid wsp:val=&quot;00B42677&quot;/&gt;&lt;wsp:rsid wsp:val=&quot;00B42894&quot;/&gt;&lt;wsp:rsid wsp:val=&quot;00B428FD&quot;/&gt;&lt;wsp:rsid wsp:val=&quot;00B42A53&quot;/&gt;&lt;wsp:rsid wsp:val=&quot;00B43481&quot;/&gt;&lt;wsp:rsid wsp:val=&quot;00B43988&quot;/&gt;&lt;wsp:rsid wsp:val=&quot;00B44E0A&quot;/&gt;&lt;wsp:rsid wsp:val=&quot;00B455A6&quot;/&gt;&lt;wsp:rsid wsp:val=&quot;00B457CD&quot;/&gt;&lt;wsp:rsid wsp:val=&quot;00B4674F&quot;/&gt;&lt;wsp:rsid wsp:val=&quot;00B46AAB&quot;/&gt;&lt;wsp:rsid wsp:val=&quot;00B46C41&quot;/&gt;&lt;wsp:rsid wsp:val=&quot;00B5191B&quot;/&gt;&lt;wsp:rsid wsp:val=&quot;00B51E45&quot;/&gt;&lt;wsp:rsid wsp:val=&quot;00B51EA8&quot;/&gt;&lt;wsp:rsid wsp:val=&quot;00B52858&quot;/&gt;&lt;wsp:rsid wsp:val=&quot;00B5297E&quot;/&gt;&lt;wsp:rsid wsp:val=&quot;00B552ED&quot;/&gt;&lt;wsp:rsid wsp:val=&quot;00B562DA&quot;/&gt;&lt;wsp:rsid wsp:val=&quot;00B57D63&quot;/&gt;&lt;wsp:rsid wsp:val=&quot;00B61317&quot;/&gt;&lt;wsp:rsid wsp:val=&quot;00B63D04&quot;/&gt;&lt;wsp:rsid wsp:val=&quot;00B6479A&quot;/&gt;&lt;wsp:rsid wsp:val=&quot;00B64BCA&quot;/&gt;&lt;wsp:rsid wsp:val=&quot;00B657D5&quot;/&gt;&lt;wsp:rsid wsp:val=&quot;00B662FD&quot;/&gt;&lt;wsp:rsid wsp:val=&quot;00B70A20&quot;/&gt;&lt;wsp:rsid wsp:val=&quot;00B72F51&quot;/&gt;&lt;wsp:rsid wsp:val=&quot;00B734D0&quot;/&gt;&lt;wsp:rsid wsp:val=&quot;00B74A95&quot;/&gt;&lt;wsp:rsid wsp:val=&quot;00B757AB&quot;/&gt;&lt;wsp:rsid wsp:val=&quot;00B75B0C&quot;/&gt;&lt;wsp:rsid wsp:val=&quot;00B76276&quot;/&gt;&lt;wsp:rsid wsp:val=&quot;00B77ADD&quot;/&gt;&lt;wsp:rsid wsp:val=&quot;00B77E4F&quot;/&gt;&lt;wsp:rsid wsp:val=&quot;00B82866&quot;/&gt;&lt;wsp:rsid wsp:val=&quot;00B8378B&quot;/&gt;&lt;wsp:rsid wsp:val=&quot;00B837B0&quot;/&gt;&lt;wsp:rsid wsp:val=&quot;00B83DCA&quot;/&gt;&lt;wsp:rsid wsp:val=&quot;00B84B88&quot;/&gt;&lt;wsp:rsid wsp:val=&quot;00B90048&quot;/&gt;&lt;wsp:rsid wsp:val=&quot;00B91A2E&quot;/&gt;&lt;wsp:rsid wsp:val=&quot;00B92B07&quot;/&gt;&lt;wsp:rsid wsp:val=&quot;00B92D15&quot;/&gt;&lt;wsp:rsid wsp:val=&quot;00B92D9A&quot;/&gt;&lt;wsp:rsid wsp:val=&quot;00B944FA&quot;/&gt;&lt;wsp:rsid wsp:val=&quot;00B95A31&quot;/&gt;&lt;wsp:rsid wsp:val=&quot;00B974D3&quot;/&gt;&lt;wsp:rsid wsp:val=&quot;00B979A5&quot;/&gt;&lt;wsp:rsid wsp:val=&quot;00B97BEB&quot;/&gt;&lt;wsp:rsid wsp:val=&quot;00BA06E0&quot;/&gt;&lt;wsp:rsid wsp:val=&quot;00BA1F5A&quot;/&gt;&lt;wsp:rsid wsp:val=&quot;00BA268A&quot;/&gt;&lt;wsp:rsid wsp:val=&quot;00BA3811&quot;/&gt;&lt;wsp:rsid wsp:val=&quot;00BA4BA8&quot;/&gt;&lt;wsp:rsid wsp:val=&quot;00BA4BC5&quot;/&gt;&lt;wsp:rsid wsp:val=&quot;00BA7DAF&quot;/&gt;&lt;wsp:rsid wsp:val=&quot;00BB0BCD&quot;/&gt;&lt;wsp:rsid wsp:val=&quot;00BB0D34&quot;/&gt;&lt;wsp:rsid wsp:val=&quot;00BB2931&quot;/&gt;&lt;wsp:rsid wsp:val=&quot;00BB5462&quot;/&gt;&lt;wsp:rsid wsp:val=&quot;00BB676D&quot;/&gt;&lt;wsp:rsid wsp:val=&quot;00BB7785&quot;/&gt;&lt;wsp:rsid wsp:val=&quot;00BC05D4&quot;/&gt;&lt;wsp:rsid wsp:val=&quot;00BC1A67&quot;/&gt;&lt;wsp:rsid wsp:val=&quot;00BC2449&quot;/&gt;&lt;wsp:rsid wsp:val=&quot;00BC25A6&quot;/&gt;&lt;wsp:rsid wsp:val=&quot;00BC5C0A&quot;/&gt;&lt;wsp:rsid wsp:val=&quot;00BC6DDD&quot;/&gt;&lt;wsp:rsid wsp:val=&quot;00BD1D25&quot;/&gt;&lt;wsp:rsid wsp:val=&quot;00BD1EDE&quot;/&gt;&lt;wsp:rsid wsp:val=&quot;00BD28C1&quot;/&gt;&lt;wsp:rsid wsp:val=&quot;00BD3126&quot;/&gt;&lt;wsp:rsid wsp:val=&quot;00BD3E9D&quot;/&gt;&lt;wsp:rsid wsp:val=&quot;00BD4880&quot;/&gt;&lt;wsp:rsid wsp:val=&quot;00BD6073&quot;/&gt;&lt;wsp:rsid wsp:val=&quot;00BD6195&quot;/&gt;&lt;wsp:rsid wsp:val=&quot;00BD66C5&quot;/&gt;&lt;wsp:rsid wsp:val=&quot;00BD6C67&quot;/&gt;&lt;wsp:rsid wsp:val=&quot;00BD7406&quot;/&gt;&lt;wsp:rsid wsp:val=&quot;00BE1F09&quot;/&gt;&lt;wsp:rsid wsp:val=&quot;00BE2652&quot;/&gt;&lt;wsp:rsid wsp:val=&quot;00BE2738&quot;/&gt;&lt;wsp:rsid wsp:val=&quot;00BE2D05&quot;/&gt;&lt;wsp:rsid wsp:val=&quot;00BE48CF&quot;/&gt;&lt;wsp:rsid wsp:val=&quot;00BE6DDD&quot;/&gt;&lt;wsp:rsid wsp:val=&quot;00BF0DEE&quot;/&gt;&lt;wsp:rsid wsp:val=&quot;00BF0EC7&quot;/&gt;&lt;wsp:rsid wsp:val=&quot;00BF1A5D&quot;/&gt;&lt;wsp:rsid wsp:val=&quot;00BF2383&quot;/&gt;&lt;wsp:rsid wsp:val=&quot;00BF23F6&quot;/&gt;&lt;wsp:rsid wsp:val=&quot;00BF2B44&quot;/&gt;&lt;wsp:rsid wsp:val=&quot;00BF3F28&quot;/&gt;&lt;wsp:rsid wsp:val=&quot;00BF5EEB&quot;/&gt;&lt;wsp:rsid wsp:val=&quot;00BF64DD&quot;/&gt;&lt;wsp:rsid wsp:val=&quot;00BF6E31&quot;/&gt;&lt;wsp:rsid wsp:val=&quot;00BF7557&quot;/&gt;&lt;wsp:rsid wsp:val=&quot;00BF7A93&quot;/&gt;&lt;wsp:rsid wsp:val=&quot;00BF7B0B&quot;/&gt;&lt;wsp:rsid wsp:val=&quot;00C00D5C&quot;/&gt;&lt;wsp:rsid wsp:val=&quot;00C016D9&quot;/&gt;&lt;wsp:rsid wsp:val=&quot;00C02486&quot;/&gt;&lt;wsp:rsid wsp:val=&quot;00C04F90&quot;/&gt;&lt;wsp:rsid wsp:val=&quot;00C05A4D&quot;/&gt;&lt;wsp:rsid wsp:val=&quot;00C05C2F&quot;/&gt;&lt;wsp:rsid wsp:val=&quot;00C07E7D&quot;/&gt;&lt;wsp:rsid wsp:val=&quot;00C10318&quot;/&gt;&lt;wsp:rsid wsp:val=&quot;00C10B98&quot;/&gt;&lt;wsp:rsid wsp:val=&quot;00C10C67&quot;/&gt;&lt;wsp:rsid wsp:val=&quot;00C118F9&quot;/&gt;&lt;wsp:rsid wsp:val=&quot;00C120AF&quot;/&gt;&lt;wsp:rsid wsp:val=&quot;00C126D9&quot;/&gt;&lt;wsp:rsid wsp:val=&quot;00C127DF&quot;/&gt;&lt;wsp:rsid wsp:val=&quot;00C12B76&quot;/&gt;&lt;wsp:rsid wsp:val=&quot;00C138B3&quot;/&gt;&lt;wsp:rsid wsp:val=&quot;00C15B04&quot;/&gt;&lt;wsp:rsid wsp:val=&quot;00C170F7&quot;/&gt;&lt;wsp:rsid wsp:val=&quot;00C206DF&quot;/&gt;&lt;wsp:rsid wsp:val=&quot;00C2180A&quot;/&gt;&lt;wsp:rsid wsp:val=&quot;00C21876&quot;/&gt;&lt;wsp:rsid wsp:val=&quot;00C24593&quot;/&gt;&lt;wsp:rsid wsp:val=&quot;00C249D7&quot;/&gt;&lt;wsp:rsid wsp:val=&quot;00C24D16&quot;/&gt;&lt;wsp:rsid wsp:val=&quot;00C24F61&quot;/&gt;&lt;wsp:rsid wsp:val=&quot;00C2569A&quot;/&gt;&lt;wsp:rsid wsp:val=&quot;00C258FB&quot;/&gt;&lt;wsp:rsid wsp:val=&quot;00C267C4&quot;/&gt;&lt;wsp:rsid wsp:val=&quot;00C3030B&quot;/&gt;&lt;wsp:rsid wsp:val=&quot;00C30778&quot;/&gt;&lt;wsp:rsid wsp:val=&quot;00C31A9A&quot;/&gt;&lt;wsp:rsid wsp:val=&quot;00C3203F&quot;/&gt;&lt;wsp:rsid wsp:val=&quot;00C326BF&quot;/&gt;&lt;wsp:rsid wsp:val=&quot;00C32803&quot;/&gt;&lt;wsp:rsid wsp:val=&quot;00C32F38&quot;/&gt;&lt;wsp:rsid wsp:val=&quot;00C42088&quot;/&gt;&lt;wsp:rsid wsp:val=&quot;00C4383C&quot;/&gt;&lt;wsp:rsid wsp:val=&quot;00C4456D&quot;/&gt;&lt;wsp:rsid wsp:val=&quot;00C4546B&quot;/&gt;&lt;wsp:rsid wsp:val=&quot;00C45B7F&quot;/&gt;&lt;wsp:rsid wsp:val=&quot;00C469F5&quot;/&gt;&lt;wsp:rsid wsp:val=&quot;00C46DB0&quot;/&gt;&lt;wsp:rsid wsp:val=&quot;00C500E6&quot;/&gt;&lt;wsp:rsid wsp:val=&quot;00C5353C&quot;/&gt;&lt;wsp:rsid wsp:val=&quot;00C54FED&quot;/&gt;&lt;wsp:rsid wsp:val=&quot;00C565F8&quot;/&gt;&lt;wsp:rsid wsp:val=&quot;00C578C6&quot;/&gt;&lt;wsp:rsid wsp:val=&quot;00C57FD1&quot;/&gt;&lt;wsp:rsid wsp:val=&quot;00C60459&quot;/&gt;&lt;wsp:rsid wsp:val=&quot;00C60BAB&quot;/&gt;&lt;wsp:rsid wsp:val=&quot;00C60C06&quot;/&gt;&lt;wsp:rsid wsp:val=&quot;00C610FA&quot;/&gt;&lt;wsp:rsid wsp:val=&quot;00C61D83&quot;/&gt;&lt;wsp:rsid wsp:val=&quot;00C621A4&quot;/&gt;&lt;wsp:rsid wsp:val=&quot;00C62C44&quot;/&gt;&lt;wsp:rsid wsp:val=&quot;00C632AB&quot;/&gt;&lt;wsp:rsid wsp:val=&quot;00C634CA&quot;/&gt;&lt;wsp:rsid wsp:val=&quot;00C644A8&quot;/&gt;&lt;wsp:rsid wsp:val=&quot;00C65B1C&quot;/&gt;&lt;wsp:rsid wsp:val=&quot;00C65C4D&quot;/&gt;&lt;wsp:rsid wsp:val=&quot;00C660D5&quot;/&gt;&lt;wsp:rsid wsp:val=&quot;00C661B9&quot;/&gt;&lt;wsp:rsid wsp:val=&quot;00C663AC&quot;/&gt;&lt;wsp:rsid wsp:val=&quot;00C66EE1&quot;/&gt;&lt;wsp:rsid wsp:val=&quot;00C7356D&quot;/&gt;&lt;wsp:rsid wsp:val=&quot;00C74557&quot;/&gt;&lt;wsp:rsid wsp:val=&quot;00C75CED&quot;/&gt;&lt;wsp:rsid wsp:val=&quot;00C76C4B&quot;/&gt;&lt;wsp:rsid wsp:val=&quot;00C76E9E&quot;/&gt;&lt;wsp:rsid wsp:val=&quot;00C77766&quot;/&gt;&lt;wsp:rsid wsp:val=&quot;00C77883&quot;/&gt;&lt;wsp:rsid wsp:val=&quot;00C806A3&quot;/&gt;&lt;wsp:rsid wsp:val=&quot;00C80825&quot;/&gt;&lt;wsp:rsid wsp:val=&quot;00C81E19&quot;/&gt;&lt;wsp:rsid wsp:val=&quot;00C8318A&quot;/&gt;&lt;wsp:rsid wsp:val=&quot;00C845A6&quot;/&gt;&lt;wsp:rsid wsp:val=&quot;00C85101&quot;/&gt;&lt;wsp:rsid wsp:val=&quot;00C85D23&quot;/&gt;&lt;wsp:rsid wsp:val=&quot;00C863D5&quot;/&gt;&lt;wsp:rsid wsp:val=&quot;00C9037C&quot;/&gt;&lt;wsp:rsid wsp:val=&quot;00C92348&quot;/&gt;&lt;wsp:rsid wsp:val=&quot;00C9239C&quot;/&gt;&lt;wsp:rsid wsp:val=&quot;00C929EA&quot;/&gt;&lt;wsp:rsid wsp:val=&quot;00C93756&quot;/&gt;&lt;wsp:rsid wsp:val=&quot;00C93CD2&quot;/&gt;&lt;wsp:rsid wsp:val=&quot;00C94B3C&quot;/&gt;&lt;wsp:rsid wsp:val=&quot;00C96401&quot;/&gt;&lt;wsp:rsid wsp:val=&quot;00C96890&quot;/&gt;&lt;wsp:rsid wsp:val=&quot;00C96BD7&quot;/&gt;&lt;wsp:rsid wsp:val=&quot;00C97A63&quot;/&gt;&lt;wsp:rsid wsp:val=&quot;00C97B81&quot;/&gt;&lt;wsp:rsid wsp:val=&quot;00CA12B8&quot;/&gt;&lt;wsp:rsid wsp:val=&quot;00CA1435&quot;/&gt;&lt;wsp:rsid wsp:val=&quot;00CA1D7F&quot;/&gt;&lt;wsp:rsid wsp:val=&quot;00CA2F68&quot;/&gt;&lt;wsp:rsid wsp:val=&quot;00CA3A0E&quot;/&gt;&lt;wsp:rsid wsp:val=&quot;00CA4149&quot;/&gt;&lt;wsp:rsid wsp:val=&quot;00CA560C&quot;/&gt;&lt;wsp:rsid wsp:val=&quot;00CA5C87&quot;/&gt;&lt;wsp:rsid wsp:val=&quot;00CA63AC&quot;/&gt;&lt;wsp:rsid wsp:val=&quot;00CA6F4A&quot;/&gt;&lt;wsp:rsid wsp:val=&quot;00CB11D3&quot;/&gt;&lt;wsp:rsid wsp:val=&quot;00CB1CE8&quot;/&gt;&lt;wsp:rsid wsp:val=&quot;00CB2237&quot;/&gt;&lt;wsp:rsid wsp:val=&quot;00CB239A&quot;/&gt;&lt;wsp:rsid wsp:val=&quot;00CB49C4&quot;/&gt;&lt;wsp:rsid wsp:val=&quot;00CB4AE3&quot;/&gt;&lt;wsp:rsid wsp:val=&quot;00CB7D56&quot;/&gt;&lt;wsp:rsid wsp:val=&quot;00CB7E0F&quot;/&gt;&lt;wsp:rsid wsp:val=&quot;00CC0197&quot;/&gt;&lt;wsp:rsid wsp:val=&quot;00CC0ACC&quot;/&gt;&lt;wsp:rsid wsp:val=&quot;00CC112F&quot;/&gt;&lt;wsp:rsid wsp:val=&quot;00CC1F30&quot;/&gt;&lt;wsp:rsid wsp:val=&quot;00CC28E2&quot;/&gt;&lt;wsp:rsid wsp:val=&quot;00CC297E&quot;/&gt;&lt;wsp:rsid wsp:val=&quot;00CC348A&quot;/&gt;&lt;wsp:rsid wsp:val=&quot;00CC3E4C&quot;/&gt;&lt;wsp:rsid wsp:val=&quot;00CC3EA4&quot;/&gt;&lt;wsp:rsid wsp:val=&quot;00CC5092&quot;/&gt;&lt;wsp:rsid wsp:val=&quot;00CC5E53&quot;/&gt;&lt;wsp:rsid wsp:val=&quot;00CC63BE&quot;/&gt;&lt;wsp:rsid wsp:val=&quot;00CC6DC8&quot;/&gt;&lt;wsp:rsid wsp:val=&quot;00CD0444&quot;/&gt;&lt;wsp:rsid wsp:val=&quot;00CD059B&quot;/&gt;&lt;wsp:rsid wsp:val=&quot;00CD1DCE&quot;/&gt;&lt;wsp:rsid wsp:val=&quot;00CD35C5&quot;/&gt;&lt;wsp:rsid wsp:val=&quot;00CD461C&quot;/&gt;&lt;wsp:rsid wsp:val=&quot;00CD6612&quot;/&gt;&lt;wsp:rsid wsp:val=&quot;00CD7B2C&quot;/&gt;&lt;wsp:rsid wsp:val=&quot;00CE07F7&quot;/&gt;&lt;wsp:rsid wsp:val=&quot;00CE0A90&quot;/&gt;&lt;wsp:rsid wsp:val=&quot;00CE2954&quot;/&gt;&lt;wsp:rsid wsp:val=&quot;00CE4033&quot;/&gt;&lt;wsp:rsid wsp:val=&quot;00CE6167&quot;/&gt;&lt;wsp:rsid wsp:val=&quot;00CE64F8&quot;/&gt;&lt;wsp:rsid wsp:val=&quot;00CE79A3&quot;/&gt;&lt;wsp:rsid wsp:val=&quot;00CE79EB&quot;/&gt;&lt;wsp:rsid wsp:val=&quot;00CF0B46&quot;/&gt;&lt;wsp:rsid wsp:val=&quot;00CF1204&quot;/&gt;&lt;wsp:rsid wsp:val=&quot;00CF28E5&quot;/&gt;&lt;wsp:rsid wsp:val=&quot;00CF2CFA&quot;/&gt;&lt;wsp:rsid wsp:val=&quot;00CF61A1&quot;/&gt;&lt;wsp:rsid wsp:val=&quot;00CF6780&quot;/&gt;&lt;wsp:rsid wsp:val=&quot;00D00393&quot;/&gt;&lt;wsp:rsid wsp:val=&quot;00D01060&quot;/&gt;&lt;wsp:rsid wsp:val=&quot;00D01F56&quot;/&gt;&lt;wsp:rsid wsp:val=&quot;00D0341C&quot;/&gt;&lt;wsp:rsid wsp:val=&quot;00D03F1B&quot;/&gt;&lt;wsp:rsid wsp:val=&quot;00D044EA&quot;/&gt;&lt;wsp:rsid wsp:val=&quot;00D047ED&quot;/&gt;&lt;wsp:rsid wsp:val=&quot;00D057BC&quot;/&gt;&lt;wsp:rsid wsp:val=&quot;00D05D49&quot;/&gt;&lt;wsp:rsid wsp:val=&quot;00D066B9&quot;/&gt;&lt;wsp:rsid wsp:val=&quot;00D0715A&quot;/&gt;&lt;wsp:rsid wsp:val=&quot;00D078EB&quot;/&gt;&lt;wsp:rsid wsp:val=&quot;00D11A8A&quot;/&gt;&lt;wsp:rsid wsp:val=&quot;00D11B49&quot;/&gt;&lt;wsp:rsid wsp:val=&quot;00D121F7&quot;/&gt;&lt;wsp:rsid wsp:val=&quot;00D133B4&quot;/&gt;&lt;wsp:rsid wsp:val=&quot;00D1391D&quot;/&gt;&lt;wsp:rsid wsp:val=&quot;00D1452F&quot;/&gt;&lt;wsp:rsid wsp:val=&quot;00D16282&quot;/&gt;&lt;wsp:rsid wsp:val=&quot;00D205E9&quot;/&gt;&lt;wsp:rsid wsp:val=&quot;00D20F9F&quot;/&gt;&lt;wsp:rsid wsp:val=&quot;00D221CA&quot;/&gt;&lt;wsp:rsid wsp:val=&quot;00D235F4&quot;/&gt;&lt;wsp:rsid wsp:val=&quot;00D240D1&quot;/&gt;&lt;wsp:rsid wsp:val=&quot;00D25130&quot;/&gt;&lt;wsp:rsid wsp:val=&quot;00D25419&quot;/&gt;&lt;wsp:rsid wsp:val=&quot;00D30AE9&quot;/&gt;&lt;wsp:rsid wsp:val=&quot;00D30C76&quot;/&gt;&lt;wsp:rsid wsp:val=&quot;00D31EB3&quot;/&gt;&lt;wsp:rsid wsp:val=&quot;00D32643&quot;/&gt;&lt;wsp:rsid wsp:val=&quot;00D32B95&quot;/&gt;&lt;wsp:rsid wsp:val=&quot;00D337F1&quot;/&gt;&lt;wsp:rsid wsp:val=&quot;00D35961&quot;/&gt;&lt;wsp:rsid wsp:val=&quot;00D35D1C&quot;/&gt;&lt;wsp:rsid wsp:val=&quot;00D365AB&quot;/&gt;&lt;wsp:rsid wsp:val=&quot;00D409E5&quot;/&gt;&lt;wsp:rsid wsp:val=&quot;00D40FA3&quot;/&gt;&lt;wsp:rsid wsp:val=&quot;00D415C6&quot;/&gt;&lt;wsp:rsid wsp:val=&quot;00D42421&quot;/&gt;&lt;wsp:rsid wsp:val=&quot;00D43571&quot;/&gt;&lt;wsp:rsid wsp:val=&quot;00D436D0&quot;/&gt;&lt;wsp:rsid wsp:val=&quot;00D4507A&quot;/&gt;&lt;wsp:rsid wsp:val=&quot;00D46C86&quot;/&gt;&lt;wsp:rsid wsp:val=&quot;00D47E7C&quot;/&gt;&lt;wsp:rsid wsp:val=&quot;00D519C0&quot;/&gt;&lt;wsp:rsid wsp:val=&quot;00D526AD&quot;/&gt;&lt;wsp:rsid wsp:val=&quot;00D526F8&quot;/&gt;&lt;wsp:rsid wsp:val=&quot;00D53023&quot;/&gt;&lt;wsp:rsid wsp:val=&quot;00D539FB&quot;/&gt;&lt;wsp:rsid wsp:val=&quot;00D542A7&quot;/&gt;&lt;wsp:rsid wsp:val=&quot;00D54E5A&quot;/&gt;&lt;wsp:rsid wsp:val=&quot;00D55452&quot;/&gt;&lt;wsp:rsid wsp:val=&quot;00D572A3&quot;/&gt;&lt;wsp:rsid wsp:val=&quot;00D601BE&quot;/&gt;&lt;wsp:rsid wsp:val=&quot;00D606DA&quot;/&gt;&lt;wsp:rsid wsp:val=&quot;00D616FE&quot;/&gt;&lt;wsp:rsid wsp:val=&quot;00D64024&quot;/&gt;&lt;wsp:rsid wsp:val=&quot;00D6620B&quot;/&gt;&lt;wsp:rsid wsp:val=&quot;00D66825&quot;/&gt;&lt;wsp:rsid wsp:val=&quot;00D66FCB&quot;/&gt;&lt;wsp:rsid wsp:val=&quot;00D703D6&quot;/&gt;&lt;wsp:rsid wsp:val=&quot;00D71509&quot;/&gt;&lt;wsp:rsid wsp:val=&quot;00D720E2&quot;/&gt;&lt;wsp:rsid wsp:val=&quot;00D72FA1&quot;/&gt;&lt;wsp:rsid wsp:val=&quot;00D75A87&quot;/&gt;&lt;wsp:rsid wsp:val=&quot;00D75E2E&quot;/&gt;&lt;wsp:rsid wsp:val=&quot;00D776AA&quot;/&gt;&lt;wsp:rsid wsp:val=&quot;00D77AF4&quot;/&gt;&lt;wsp:rsid wsp:val=&quot;00D77EA5&quot;/&gt;&lt;wsp:rsid wsp:val=&quot;00D80EC1&quot;/&gt;&lt;wsp:rsid wsp:val=&quot;00D8157E&quot;/&gt;&lt;wsp:rsid wsp:val=&quot;00D81E72&quot;/&gt;&lt;wsp:rsid wsp:val=&quot;00D83E92&quot;/&gt;&lt;wsp:rsid wsp:val=&quot;00D86654&quot;/&gt;&lt;wsp:rsid wsp:val=&quot;00D867E8&quot;/&gt;&lt;wsp:rsid wsp:val=&quot;00D94853&quot;/&gt;&lt;wsp:rsid wsp:val=&quot;00D94B98&quot;/&gt;&lt;wsp:rsid wsp:val=&quot;00D94EC7&quot;/&gt;&lt;wsp:rsid wsp:val=&quot;00D9606F&quot;/&gt;&lt;wsp:rsid wsp:val=&quot;00D96341&quot;/&gt;&lt;wsp:rsid wsp:val=&quot;00D96787&quot;/&gt;&lt;wsp:rsid wsp:val=&quot;00DA1039&quot;/&gt;&lt;wsp:rsid wsp:val=&quot;00DA14B5&quot;/&gt;&lt;wsp:rsid wsp:val=&quot;00DA488D&quot;/&gt;&lt;wsp:rsid wsp:val=&quot;00DA4C68&quot;/&gt;&lt;wsp:rsid wsp:val=&quot;00DA4FAA&quot;/&gt;&lt;wsp:rsid wsp:val=&quot;00DA7577&quot;/&gt;&lt;wsp:rsid wsp:val=&quot;00DA78C2&quot;/&gt;&lt;wsp:rsid wsp:val=&quot;00DB17CE&quot;/&gt;&lt;wsp:rsid wsp:val=&quot;00DB1BCB&quot;/&gt;&lt;wsp:rsid wsp:val=&quot;00DB1C27&quot;/&gt;&lt;wsp:rsid wsp:val=&quot;00DB1C99&quot;/&gt;&lt;wsp:rsid wsp:val=&quot;00DB1FC0&quot;/&gt;&lt;wsp:rsid wsp:val=&quot;00DB2A4E&quot;/&gt;&lt;wsp:rsid wsp:val=&quot;00DB502A&quot;/&gt;&lt;wsp:rsid wsp:val=&quot;00DB528E&quot;/&gt;&lt;wsp:rsid wsp:val=&quot;00DB6970&quot;/&gt;&lt;wsp:rsid wsp:val=&quot;00DB6D5D&quot;/&gt;&lt;wsp:rsid wsp:val=&quot;00DB7BB6&quot;/&gt;&lt;wsp:rsid wsp:val=&quot;00DB7FDF&quot;/&gt;&lt;wsp:rsid wsp:val=&quot;00DC0C0A&quot;/&gt;&lt;wsp:rsid wsp:val=&quot;00DC0EC5&quot;/&gt;&lt;wsp:rsid wsp:val=&quot;00DC309E&quot;/&gt;&lt;wsp:rsid wsp:val=&quot;00DC35F0&quot;/&gt;&lt;wsp:rsid wsp:val=&quot;00DC4F64&quot;/&gt;&lt;wsp:rsid wsp:val=&quot;00DC500E&quot;/&gt;&lt;wsp:rsid wsp:val=&quot;00DC5E85&quot;/&gt;&lt;wsp:rsid wsp:val=&quot;00DC7BFF&quot;/&gt;&lt;wsp:rsid wsp:val=&quot;00DD0362&quot;/&gt;&lt;wsp:rsid wsp:val=&quot;00DD06D4&quot;/&gt;&lt;wsp:rsid wsp:val=&quot;00DD0B40&quot;/&gt;&lt;wsp:rsid wsp:val=&quot;00DD1B2A&quot;/&gt;&lt;wsp:rsid wsp:val=&quot;00DD2CB3&quot;/&gt;&lt;wsp:rsid wsp:val=&quot;00DD2F12&quot;/&gt;&lt;wsp:rsid wsp:val=&quot;00DD2F67&quot;/&gt;&lt;wsp:rsid wsp:val=&quot;00DD30A7&quot;/&gt;&lt;wsp:rsid wsp:val=&quot;00DD3112&quot;/&gt;&lt;wsp:rsid wsp:val=&quot;00DD53CA&quot;/&gt;&lt;wsp:rsid wsp:val=&quot;00DD5776&quot;/&gt;&lt;wsp:rsid wsp:val=&quot;00DD5E77&quot;/&gt;&lt;wsp:rsid wsp:val=&quot;00DD7E75&quot;/&gt;&lt;wsp:rsid wsp:val=&quot;00DE0EFA&quot;/&gt;&lt;wsp:rsid wsp:val=&quot;00DE364A&quot;/&gt;&lt;wsp:rsid wsp:val=&quot;00DE3B45&quot;/&gt;&lt;wsp:rsid wsp:val=&quot;00DE4EA1&quot;/&gt;&lt;wsp:rsid wsp:val=&quot;00DE5108&quot;/&gt;&lt;wsp:rsid wsp:val=&quot;00DE6255&quot;/&gt;&lt;wsp:rsid wsp:val=&quot;00DE7147&quot;/&gt;&lt;wsp:rsid wsp:val=&quot;00DE7538&quot;/&gt;&lt;wsp:rsid wsp:val=&quot;00DE7D27&quot;/&gt;&lt;wsp:rsid wsp:val=&quot;00DF0745&quot;/&gt;&lt;wsp:rsid wsp:val=&quot;00DF1310&quot;/&gt;&lt;wsp:rsid wsp:val=&quot;00DF14F2&quot;/&gt;&lt;wsp:rsid wsp:val=&quot;00DF1597&quot;/&gt;&lt;wsp:rsid wsp:val=&quot;00DF1F45&quot;/&gt;&lt;wsp:rsid wsp:val=&quot;00DF489C&quot;/&gt;&lt;wsp:rsid wsp:val=&quot;00DF4A20&quot;/&gt;&lt;wsp:rsid wsp:val=&quot;00DF534E&quot;/&gt;&lt;wsp:rsid wsp:val=&quot;00DF6756&quot;/&gt;&lt;wsp:rsid wsp:val=&quot;00DF7F8D&quot;/&gt;&lt;wsp:rsid wsp:val=&quot;00E02061&quot;/&gt;&lt;wsp:rsid wsp:val=&quot;00E02189&quot;/&gt;&lt;wsp:rsid wsp:val=&quot;00E02272&quot;/&gt;&lt;wsp:rsid wsp:val=&quot;00E02566&quot;/&gt;&lt;wsp:rsid wsp:val=&quot;00E034F2&quot;/&gt;&lt;wsp:rsid wsp:val=&quot;00E042D5&quot;/&gt;&lt;wsp:rsid wsp:val=&quot;00E0430A&quot;/&gt;&lt;wsp:rsid wsp:val=&quot;00E049DC&quot;/&gt;&lt;wsp:rsid wsp:val=&quot;00E07CD6&quot;/&gt;&lt;wsp:rsid wsp:val=&quot;00E11E37&quot;/&gt;&lt;wsp:rsid wsp:val=&quot;00E130CE&quot;/&gt;&lt;wsp:rsid wsp:val=&quot;00E1311E&quot;/&gt;&lt;wsp:rsid wsp:val=&quot;00E136EA&quot;/&gt;&lt;wsp:rsid wsp:val=&quot;00E14B19&quot;/&gt;&lt;wsp:rsid wsp:val=&quot;00E1536A&quot;/&gt;&lt;wsp:rsid wsp:val=&quot;00E20377&quot;/&gt;&lt;wsp:rsid wsp:val=&quot;00E205DD&quot;/&gt;&lt;wsp:rsid wsp:val=&quot;00E20ABB&quot;/&gt;&lt;wsp:rsid wsp:val=&quot;00E20D8D&quot;/&gt;&lt;wsp:rsid wsp:val=&quot;00E21538&quot;/&gt;&lt;wsp:rsid wsp:val=&quot;00E22504&quot;/&gt;&lt;wsp:rsid wsp:val=&quot;00E24807&quot;/&gt;&lt;wsp:rsid wsp:val=&quot;00E24A79&quot;/&gt;&lt;wsp:rsid wsp:val=&quot;00E2511C&quot;/&gt;&lt;wsp:rsid wsp:val=&quot;00E2554C&quot;/&gt;&lt;wsp:rsid wsp:val=&quot;00E25D4F&quot;/&gt;&lt;wsp:rsid wsp:val=&quot;00E27633&quot;/&gt;&lt;wsp:rsid wsp:val=&quot;00E27EEE&quot;/&gt;&lt;wsp:rsid wsp:val=&quot;00E27FCD&quot;/&gt;&lt;wsp:rsid wsp:val=&quot;00E308B1&quot;/&gt;&lt;wsp:rsid wsp:val=&quot;00E32365&quot;/&gt;&lt;wsp:rsid wsp:val=&quot;00E3275A&quot;/&gt;&lt;wsp:rsid wsp:val=&quot;00E334E4&quot;/&gt;&lt;wsp:rsid wsp:val=&quot;00E3407B&quot;/&gt;&lt;wsp:rsid wsp:val=&quot;00E34106&quot;/&gt;&lt;wsp:rsid wsp:val=&quot;00E344A1&quot;/&gt;&lt;wsp:rsid wsp:val=&quot;00E34885&quot;/&gt;&lt;wsp:rsid wsp:val=&quot;00E356C1&quot;/&gt;&lt;wsp:rsid wsp:val=&quot;00E37A3A&quot;/&gt;&lt;wsp:rsid wsp:val=&quot;00E40BBA&quot;/&gt;&lt;wsp:rsid wsp:val=&quot;00E40E46&quot;/&gt;&lt;wsp:rsid wsp:val=&quot;00E41D52&quot;/&gt;&lt;wsp:rsid wsp:val=&quot;00E42E9B&quot;/&gt;&lt;wsp:rsid wsp:val=&quot;00E432F8&quot;/&gt;&lt;wsp:rsid wsp:val=&quot;00E4363F&quot;/&gt;&lt;wsp:rsid wsp:val=&quot;00E45C03&quot;/&gt;&lt;wsp:rsid wsp:val=&quot;00E46151&quot;/&gt;&lt;wsp:rsid wsp:val=&quot;00E47532&quot;/&gt;&lt;wsp:rsid wsp:val=&quot;00E47B65&quot;/&gt;&lt;wsp:rsid wsp:val=&quot;00E47DF5&quot;/&gt;&lt;wsp:rsid wsp:val=&quot;00E51B41&quot;/&gt;&lt;wsp:rsid wsp:val=&quot;00E54501&quot;/&gt;&lt;wsp:rsid wsp:val=&quot;00E561AF&quot;/&gt;&lt;wsp:rsid wsp:val=&quot;00E56B27&quot;/&gt;&lt;wsp:rsid wsp:val=&quot;00E60534&quot;/&gt;&lt;wsp:rsid wsp:val=&quot;00E62971&quot;/&gt;&lt;wsp:rsid wsp:val=&quot;00E6370A&quot;/&gt;&lt;wsp:rsid wsp:val=&quot;00E63991&quot;/&gt;&lt;wsp:rsid wsp:val=&quot;00E63C58&quot;/&gt;&lt;wsp:rsid wsp:val=&quot;00E6589A&quot;/&gt;&lt;wsp:rsid wsp:val=&quot;00E678D1&quot;/&gt;&lt;wsp:rsid wsp:val=&quot;00E67D79&quot;/&gt;&lt;wsp:rsid wsp:val=&quot;00E7242F&quot;/&gt;&lt;wsp:rsid wsp:val=&quot;00E72A9D&quot;/&gt;&lt;wsp:rsid wsp:val=&quot;00E7348C&quot;/&gt;&lt;wsp:rsid wsp:val=&quot;00E73FBF&quot;/&gt;&lt;wsp:rsid wsp:val=&quot;00E7502F&quot;/&gt;&lt;wsp:rsid wsp:val=&quot;00E7731C&quot;/&gt;&lt;wsp:rsid wsp:val=&quot;00E778B8&quot;/&gt;&lt;wsp:rsid wsp:val=&quot;00E77D66&quot;/&gt;&lt;wsp:rsid wsp:val=&quot;00E80BF6&quot;/&gt;&lt;wsp:rsid wsp:val=&quot;00E81003&quot;/&gt;&lt;wsp:rsid wsp:val=&quot;00E83180&quot;/&gt;&lt;wsp:rsid wsp:val=&quot;00E83D4B&quot;/&gt;&lt;wsp:rsid wsp:val=&quot;00E84C17&quot;/&gt;&lt;wsp:rsid wsp:val=&quot;00E858EB&quot;/&gt;&lt;wsp:rsid wsp:val=&quot;00E90FDC&quot;/&gt;&lt;wsp:rsid wsp:val=&quot;00E91325&quot;/&gt;&lt;wsp:rsid wsp:val=&quot;00E93567&quot;/&gt;&lt;wsp:rsid wsp:val=&quot;00E93DC8&quot;/&gt;&lt;wsp:rsid wsp:val=&quot;00E96A1C&quot;/&gt;&lt;wsp:rsid wsp:val=&quot;00E976D2&quot;/&gt;&lt;wsp:rsid wsp:val=&quot;00EA03A6&quot;/&gt;&lt;wsp:rsid wsp:val=&quot;00EA0948&quot;/&gt;&lt;wsp:rsid wsp:val=&quot;00EA1203&quot;/&gt;&lt;wsp:rsid wsp:val=&quot;00EA15CF&quot;/&gt;&lt;wsp:rsid wsp:val=&quot;00EA19FC&quot;/&gt;&lt;wsp:rsid wsp:val=&quot;00EA2897&quot;/&gt;&lt;wsp:rsid wsp:val=&quot;00EA3ECC&quot;/&gt;&lt;wsp:rsid wsp:val=&quot;00EA4222&quot;/&gt;&lt;wsp:rsid wsp:val=&quot;00EA4F54&quot;/&gt;&lt;wsp:rsid wsp:val=&quot;00EA5743&quot;/&gt;&lt;wsp:rsid wsp:val=&quot;00EA62D8&quot;/&gt;&lt;wsp:rsid wsp:val=&quot;00EA6CC8&quot;/&gt;&lt;wsp:rsid wsp:val=&quot;00EA7CC9&quot;/&gt;&lt;wsp:rsid wsp:val=&quot;00EB004E&quot;/&gt;&lt;wsp:rsid wsp:val=&quot;00EB0054&quot;/&gt;&lt;wsp:rsid wsp:val=&quot;00EB049D&quot;/&gt;&lt;wsp:rsid wsp:val=&quot;00EB04C8&quot;/&gt;&lt;wsp:rsid wsp:val=&quot;00EB0FFF&quot;/&gt;&lt;wsp:rsid wsp:val=&quot;00EB1284&quot;/&gt;&lt;wsp:rsid wsp:val=&quot;00EB1299&quot;/&gt;&lt;wsp:rsid wsp:val=&quot;00EB141F&quot;/&gt;&lt;wsp:rsid wsp:val=&quot;00EB1660&quot;/&gt;&lt;wsp:rsid wsp:val=&quot;00EB1A33&quot;/&gt;&lt;wsp:rsid wsp:val=&quot;00EB21DD&quot;/&gt;&lt;wsp:rsid wsp:val=&quot;00EB2B1B&quot;/&gt;&lt;wsp:rsid wsp:val=&quot;00EB3FCC&quot;/&gt;&lt;wsp:rsid wsp:val=&quot;00EB4B42&quot;/&gt;&lt;wsp:rsid wsp:val=&quot;00EB52F1&quot;/&gt;&lt;wsp:rsid wsp:val=&quot;00EB5368&quot;/&gt;&lt;wsp:rsid wsp:val=&quot;00EB7969&quot;/&gt;&lt;wsp:rsid wsp:val=&quot;00EC1D78&quot;/&gt;&lt;wsp:rsid wsp:val=&quot;00EC334E&quot;/&gt;&lt;wsp:rsid wsp:val=&quot;00EC3478&quot;/&gt;&lt;wsp:rsid wsp:val=&quot;00EC34D3&quot;/&gt;&lt;wsp:rsid wsp:val=&quot;00EC5811&quot;/&gt;&lt;wsp:rsid wsp:val=&quot;00EC6A89&quot;/&gt;&lt;wsp:rsid wsp:val=&quot;00ED0C3D&quot;/&gt;&lt;wsp:rsid wsp:val=&quot;00ED11E4&quot;/&gt;&lt;wsp:rsid wsp:val=&quot;00ED3390&quot;/&gt;&lt;wsp:rsid wsp:val=&quot;00ED3475&quot;/&gt;&lt;wsp:rsid wsp:val=&quot;00ED348F&quot;/&gt;&lt;wsp:rsid wsp:val=&quot;00ED4EB9&quot;/&gt;&lt;wsp:rsid wsp:val=&quot;00ED6F13&quot;/&gt;&lt;wsp:rsid wsp:val=&quot;00ED7466&quot;/&gt;&lt;wsp:rsid wsp:val=&quot;00ED7E51&quot;/&gt;&lt;wsp:rsid wsp:val=&quot;00EE05FC&quot;/&gt;&lt;wsp:rsid wsp:val=&quot;00EE0785&quot;/&gt;&lt;wsp:rsid wsp:val=&quot;00EE1257&quot;/&gt;&lt;wsp:rsid wsp:val=&quot;00EE17F2&quot;/&gt;&lt;wsp:rsid wsp:val=&quot;00EE36D1&quot;/&gt;&lt;wsp:rsid wsp:val=&quot;00EE4459&quot;/&gt;&lt;wsp:rsid wsp:val=&quot;00EE50B4&quot;/&gt;&lt;wsp:rsid wsp:val=&quot;00EE5734&quot;/&gt;&lt;wsp:rsid wsp:val=&quot;00EE5A78&quot;/&gt;&lt;wsp:rsid wsp:val=&quot;00EE660A&quot;/&gt;&lt;wsp:rsid wsp:val=&quot;00EF1590&quot;/&gt;&lt;wsp:rsid wsp:val=&quot;00EF219D&quot;/&gt;&lt;wsp:rsid wsp:val=&quot;00EF21EF&quot;/&gt;&lt;wsp:rsid wsp:val=&quot;00EF28FC&quot;/&gt;&lt;wsp:rsid wsp:val=&quot;00EF2AF0&quot;/&gt;&lt;wsp:rsid wsp:val=&quot;00EF3AF2&quot;/&gt;&lt;wsp:rsid wsp:val=&quot;00EF4ED8&quot;/&gt;&lt;wsp:rsid wsp:val=&quot;00EF54D3&quot;/&gt;&lt;wsp:rsid wsp:val=&quot;00EF5652&quot;/&gt;&lt;wsp:rsid wsp:val=&quot;00EF5CA2&quot;/&gt;&lt;wsp:rsid wsp:val=&quot;00EF5F9C&quot;/&gt;&lt;wsp:rsid wsp:val=&quot;00EF6406&quot;/&gt;&lt;wsp:rsid wsp:val=&quot;00EF6626&quot;/&gt;&lt;wsp:rsid wsp:val=&quot;00EF6EEA&quot;/&gt;&lt;wsp:rsid wsp:val=&quot;00EF71B8&quot;/&gt;&lt;wsp:rsid wsp:val=&quot;00EF7297&quot;/&gt;&lt;wsp:rsid wsp:val=&quot;00EF7512&quot;/&gt;&lt;wsp:rsid wsp:val=&quot;00F020E5&quot;/&gt;&lt;wsp:rsid wsp:val=&quot;00F03B89&quot;/&gt;&lt;wsp:rsid wsp:val=&quot;00F04E29&quot;/&gt;&lt;wsp:rsid wsp:val=&quot;00F05426&quot;/&gt;&lt;wsp:rsid wsp:val=&quot;00F05594&quot;/&gt;&lt;wsp:rsid wsp:val=&quot;00F058B1&quot;/&gt;&lt;wsp:rsid wsp:val=&quot;00F077B5&quot;/&gt;&lt;wsp:rsid wsp:val=&quot;00F108B3&quot;/&gt;&lt;wsp:rsid wsp:val=&quot;00F10D18&quot;/&gt;&lt;wsp:rsid wsp:val=&quot;00F1296B&quot;/&gt;&lt;wsp:rsid wsp:val=&quot;00F13006&quot;/&gt;&lt;wsp:rsid wsp:val=&quot;00F13AC4&quot;/&gt;&lt;wsp:rsid wsp:val=&quot;00F148DD&quot;/&gt;&lt;wsp:rsid wsp:val=&quot;00F151A0&quot;/&gt;&lt;wsp:rsid wsp:val=&quot;00F1655A&quot;/&gt;&lt;wsp:rsid wsp:val=&quot;00F16E9D&quot;/&gt;&lt;wsp:rsid wsp:val=&quot;00F17058&quot;/&gt;&lt;wsp:rsid wsp:val=&quot;00F17150&quot;/&gt;&lt;wsp:rsid wsp:val=&quot;00F2192E&quot;/&gt;&lt;wsp:rsid wsp:val=&quot;00F21FD2&quot;/&gt;&lt;wsp:rsid wsp:val=&quot;00F2231D&quot;/&gt;&lt;wsp:rsid wsp:val=&quot;00F22E1A&quot;/&gt;&lt;wsp:rsid wsp:val=&quot;00F24A70&quot;/&gt;&lt;wsp:rsid wsp:val=&quot;00F250BF&quot;/&gt;&lt;wsp:rsid wsp:val=&quot;00F251E8&quot;/&gt;&lt;wsp:rsid wsp:val=&quot;00F2650F&quot;/&gt;&lt;wsp:rsid wsp:val=&quot;00F26ABF&quot;/&gt;&lt;wsp:rsid wsp:val=&quot;00F271E0&quot;/&gt;&lt;wsp:rsid wsp:val=&quot;00F27817&quot;/&gt;&lt;wsp:rsid wsp:val=&quot;00F30E39&quot;/&gt;&lt;wsp:rsid wsp:val=&quot;00F30FBE&quot;/&gt;&lt;wsp:rsid wsp:val=&quot;00F31952&quot;/&gt;&lt;wsp:rsid wsp:val=&quot;00F32070&quot;/&gt;&lt;wsp:rsid wsp:val=&quot;00F32217&quot;/&gt;&lt;wsp:rsid wsp:val=&quot;00F33A45&quot;/&gt;&lt;wsp:rsid wsp:val=&quot;00F33F2E&quot;/&gt;&lt;wsp:rsid wsp:val=&quot;00F345C4&quot;/&gt;&lt;wsp:rsid wsp:val=&quot;00F347F4&quot;/&gt;&lt;wsp:rsid wsp:val=&quot;00F4080B&quot;/&gt;&lt;wsp:rsid wsp:val=&quot;00F41920&quot;/&gt;&lt;wsp:rsid wsp:val=&quot;00F41A20&quot;/&gt;&lt;wsp:rsid wsp:val=&quot;00F41E6A&quot;/&gt;&lt;wsp:rsid wsp:val=&quot;00F42430&quot;/&gt;&lt;wsp:rsid wsp:val=&quot;00F42A03&quot;/&gt;&lt;wsp:rsid wsp:val=&quot;00F42FF3&quot;/&gt;&lt;wsp:rsid wsp:val=&quot;00F43401&quot;/&gt;&lt;wsp:rsid wsp:val=&quot;00F43DDE&quot;/&gt;&lt;wsp:rsid wsp:val=&quot;00F43FE9&quot;/&gt;&lt;wsp:rsid wsp:val=&quot;00F44180&quot;/&gt;&lt;wsp:rsid wsp:val=&quot;00F45911&quot;/&gt;&lt;wsp:rsid wsp:val=&quot;00F46532&quot;/&gt;&lt;wsp:rsid wsp:val=&quot;00F51017&quot;/&gt;&lt;wsp:rsid wsp:val=&quot;00F5165A&quot;/&gt;&lt;wsp:rsid wsp:val=&quot;00F51901&quot;/&gt;&lt;wsp:rsid wsp:val=&quot;00F52082&quot;/&gt;&lt;wsp:rsid wsp:val=&quot;00F52784&quot;/&gt;&lt;wsp:rsid wsp:val=&quot;00F54E86&quot;/&gt;&lt;wsp:rsid wsp:val=&quot;00F54EBD&quot;/&gt;&lt;wsp:rsid wsp:val=&quot;00F55005&quot;/&gt;&lt;wsp:rsid wsp:val=&quot;00F5508E&quot;/&gt;&lt;wsp:rsid wsp:val=&quot;00F554FB&quot;/&gt;&lt;wsp:rsid wsp:val=&quot;00F557B0&quot;/&gt;&lt;wsp:rsid wsp:val=&quot;00F5694E&quot;/&gt;&lt;wsp:rsid wsp:val=&quot;00F56E96&quot;/&gt;&lt;wsp:rsid wsp:val=&quot;00F572B2&quot;/&gt;&lt;wsp:rsid wsp:val=&quot;00F605E4&quot;/&gt;&lt;wsp:rsid wsp:val=&quot;00F612A4&quot;/&gt;&lt;wsp:rsid wsp:val=&quot;00F62CDB&quot;/&gt;&lt;wsp:rsid wsp:val=&quot;00F6352E&quot;/&gt;&lt;wsp:rsid wsp:val=&quot;00F63880&quot;/&gt;&lt;wsp:rsid wsp:val=&quot;00F64D8F&quot;/&gt;&lt;wsp:rsid wsp:val=&quot;00F650B4&quot;/&gt;&lt;wsp:rsid wsp:val=&quot;00F65ABD&quot;/&gt;&lt;wsp:rsid wsp:val=&quot;00F65B88&quot;/&gt;&lt;wsp:rsid wsp:val=&quot;00F65DFE&quot;/&gt;&lt;wsp:rsid wsp:val=&quot;00F663A3&quot;/&gt;&lt;wsp:rsid wsp:val=&quot;00F677C3&quot;/&gt;&lt;wsp:rsid wsp:val=&quot;00F7059D&quot;/&gt;&lt;wsp:rsid wsp:val=&quot;00F71123&quot;/&gt;&lt;wsp:rsid wsp:val=&quot;00F7155B&quot;/&gt;&lt;wsp:rsid wsp:val=&quot;00F717EF&quot;/&gt;&lt;wsp:rsid wsp:val=&quot;00F7338F&quot;/&gt;&lt;wsp:rsid wsp:val=&quot;00F73B7B&quot;/&gt;&lt;wsp:rsid wsp:val=&quot;00F74AF2&quot;/&gt;&lt;wsp:rsid wsp:val=&quot;00F75115&quot;/&gt;&lt;wsp:rsid wsp:val=&quot;00F752CF&quot;/&gt;&lt;wsp:rsid wsp:val=&quot;00F770EC&quot;/&gt;&lt;wsp:rsid wsp:val=&quot;00F7766C&quot;/&gt;&lt;wsp:rsid wsp:val=&quot;00F81615&quot;/&gt;&lt;wsp:rsid wsp:val=&quot;00F81B58&quot;/&gt;&lt;wsp:rsid wsp:val=&quot;00F82DC2&quot;/&gt;&lt;wsp:rsid wsp:val=&quot;00F82F75&quot;/&gt;&lt;wsp:rsid wsp:val=&quot;00F834EE&quot;/&gt;&lt;wsp:rsid wsp:val=&quot;00F835BC&quot;/&gt;&lt;wsp:rsid wsp:val=&quot;00F86334&quot;/&gt;&lt;wsp:rsid wsp:val=&quot;00F8772A&quot;/&gt;&lt;wsp:rsid wsp:val=&quot;00F90A1B&quot;/&gt;&lt;wsp:rsid wsp:val=&quot;00F90DD6&quot;/&gt;&lt;wsp:rsid wsp:val=&quot;00F91D6C&quot;/&gt;&lt;wsp:rsid wsp:val=&quot;00F93020&quot;/&gt;&lt;wsp:rsid wsp:val=&quot;00F93E41&quot;/&gt;&lt;wsp:rsid wsp:val=&quot;00F948C0&quot;/&gt;&lt;wsp:rsid wsp:val=&quot;00F95520&quot;/&gt;&lt;wsp:rsid wsp:val=&quot;00F97541&quot;/&gt;&lt;wsp:rsid wsp:val=&quot;00FA0FA4&quot;/&gt;&lt;wsp:rsid wsp:val=&quot;00FA139D&quot;/&gt;&lt;wsp:rsid wsp:val=&quot;00FA3410&quot;/&gt;&lt;wsp:rsid wsp:val=&quot;00FA4EFB&quot;/&gt;&lt;wsp:rsid wsp:val=&quot;00FA5818&quot;/&gt;&lt;wsp:rsid wsp:val=&quot;00FA5C1D&quot;/&gt;&lt;wsp:rsid wsp:val=&quot;00FA5D33&quot;/&gt;&lt;wsp:rsid wsp:val=&quot;00FA6AB1&quot;/&gt;&lt;wsp:rsid wsp:val=&quot;00FA6E1F&quot;/&gt;&lt;wsp:rsid wsp:val=&quot;00FA6E6A&quot;/&gt;&lt;wsp:rsid wsp:val=&quot;00FB021D&quot;/&gt;&lt;wsp:rsid wsp:val=&quot;00FB0D0F&quot;/&gt;&lt;wsp:rsid wsp:val=&quot;00FB119E&quot;/&gt;&lt;wsp:rsid wsp:val=&quot;00FB3C4E&quot;/&gt;&lt;wsp:rsid wsp:val=&quot;00FB4750&quot;/&gt;&lt;wsp:rsid wsp:val=&quot;00FB47A2&quot;/&gt;&lt;wsp:rsid wsp:val=&quot;00FB5564&quot;/&gt;&lt;wsp:rsid wsp:val=&quot;00FB632A&quot;/&gt;&lt;wsp:rsid wsp:val=&quot;00FB7028&quot;/&gt;&lt;wsp:rsid wsp:val=&quot;00FB7093&quot;/&gt;&lt;wsp:rsid wsp:val=&quot;00FB7F98&quot;/&gt;&lt;wsp:rsid wsp:val=&quot;00FC1631&quot;/&gt;&lt;wsp:rsid wsp:val=&quot;00FC242F&quot;/&gt;&lt;wsp:rsid wsp:val=&quot;00FC2484&quot;/&gt;&lt;wsp:rsid wsp:val=&quot;00FC2BD9&quot;/&gt;&lt;wsp:rsid wsp:val=&quot;00FC2D0F&quot;/&gt;&lt;wsp:rsid wsp:val=&quot;00FC4AA8&quot;/&gt;&lt;wsp:rsid wsp:val=&quot;00FC6A46&quot;/&gt;&lt;wsp:rsid wsp:val=&quot;00FD2139&quot;/&gt;&lt;wsp:rsid wsp:val=&quot;00FD235F&quot;/&gt;&lt;wsp:rsid wsp:val=&quot;00FD2EA4&quot;/&gt;&lt;wsp:rsid wsp:val=&quot;00FD31AB&quot;/&gt;&lt;wsp:rsid wsp:val=&quot;00FD38C5&quot;/&gt;&lt;wsp:rsid wsp:val=&quot;00FD4439&quot;/&gt;&lt;wsp:rsid wsp:val=&quot;00FD4D1D&quot;/&gt;&lt;wsp:rsid wsp:val=&quot;00FD53E4&quot;/&gt;&lt;wsp:rsid wsp:val=&quot;00FD626E&quot;/&gt;&lt;wsp:rsid wsp:val=&quot;00FD64F7&quot;/&gt;&lt;wsp:rsid wsp:val=&quot;00FD73D1&quot;/&gt;&lt;wsp:rsid wsp:val=&quot;00FD7415&quot;/&gt;&lt;wsp:rsid wsp:val=&quot;00FE003A&quot;/&gt;&lt;wsp:rsid wsp:val=&quot;00FE0199&quot;/&gt;&lt;wsp:rsid wsp:val=&quot;00FE0647&quot;/&gt;&lt;wsp:rsid wsp:val=&quot;00FE0B6C&quot;/&gt;&lt;wsp:rsid wsp:val=&quot;00FE3B9C&quot;/&gt;&lt;wsp:rsid wsp:val=&quot;00FE42B0&quot;/&gt;&lt;wsp:rsid wsp:val=&quot;00FE4E0D&quot;/&gt;&lt;wsp:rsid wsp:val=&quot;00FE5A40&quot;/&gt;&lt;wsp:rsid wsp:val=&quot;00FE79B5&quot;/&gt;&lt;wsp:rsid wsp:val=&quot;00FE7D4A&quot;/&gt;&lt;wsp:rsid wsp:val=&quot;00FF0094&quot;/&gt;&lt;wsp:rsid wsp:val=&quot;00FF047B&quot;/&gt;&lt;wsp:rsid wsp:val=&quot;00FF200D&quot;/&gt;&lt;wsp:rsid wsp:val=&quot;00FF3417&quot;/&gt;&lt;wsp:rsid wsp:val=&quot;00FF4082&quot;/&gt;&lt;wsp:rsid wsp:val=&quot;00FF4115&quot;/&gt;&lt;wsp:rsid wsp:val=&quot;00FF412F&quot;/&gt;&lt;wsp:rsid wsp:val=&quot;00FF4200&quot;/&gt;&lt;wsp:rsid wsp:val=&quot;00FF589A&quot;/&gt;&lt;wsp:rsid wsp:val=&quot;00FF713E&quot;/&gt;&lt;wsp:rsid wsp:val=&quot;00FF7E9E&quot;/&gt;&lt;wsp:rsid wsp:val=&quot;124A70DD&quot;/&gt;&lt;wsp:rsid wsp:val=&quot;276C66C1&quot;/&gt;&lt;wsp:rsid wsp:val=&quot;279C602D&quot;/&gt;&lt;wsp:rsid wsp:val=&quot;27FE558A&quot;/&gt;&lt;wsp:rsid wsp:val=&quot;48F30311&quot;/&gt;&lt;wsp:rsid wsp:val=&quot;4977177C&quot;/&gt;&lt;wsp:rsid wsp:val=&quot;59BF00DD&quot;/&gt;&lt;wsp:rsid wsp:val=&quot;5C1C5360&quot;/&gt;&lt;wsp:rsid wsp:val=&quot;613971F9&quot;/&gt;&lt;wsp:rsid wsp:val=&quot;742216F8&quot;/&gt;&lt;/wsp:rsids&gt;&lt;/w:docPr&gt;&lt;w:body&gt;&lt;wx:sect&gt;&lt;w:p wsp:rsidR=&quot;00000000&quot; wsp:rsidRDefault=&quot;00C249D7&quot; wsp:rsidP=&quot;00C249D7&quot;&gt;&lt;m:oMathPara&gt;&lt;m:oMath&gt;&lt;m:r&gt;&lt;w:rPr&gt;&lt;w:rFonts w:ascii=&quot;Cambria Math&quot; w:h-ansi=&quot;Cambria Math&quot;/&gt;&lt;wx:font wx:val=&quot;Cambria Math&quot;/&gt;&lt;w:i/&gt;&lt;w:kern w:val=&quot;0&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2" chromakey="#FFFFFF" o:title=""/>
            <o:lock v:ext="edit" aspectratio="t"/>
            <w10:wrap type="none"/>
            <w10:anchorlock/>
          </v:shape>
        </w:pict>
      </w:r>
      <w:r>
        <w:rPr>
          <w:color w:val="auto"/>
          <w:kern w:val="0"/>
          <w:sz w:val="24"/>
          <w:highlight w:val="none"/>
        </w:rPr>
        <w:fldChar w:fldCharType="end"/>
      </w:r>
      <w:r>
        <w:rPr>
          <w:color w:val="auto"/>
          <w:kern w:val="0"/>
          <w:sz w:val="24"/>
          <w:highlight w:val="none"/>
        </w:rPr>
        <w:t>6 mm，铠装热电偶与管道的过程连接方式为卡套；对于气相温度的测量，K型热电偶，不通锂铅的位置不用铠装。</w:t>
      </w:r>
    </w:p>
    <w:p w14:paraId="64B4B2E9">
      <w:pPr>
        <w:widowControl/>
        <w:spacing w:line="360" w:lineRule="auto"/>
        <w:ind w:firstLine="480" w:firstLineChars="200"/>
        <w:rPr>
          <w:color w:val="auto"/>
          <w:kern w:val="0"/>
          <w:sz w:val="24"/>
          <w:highlight w:val="none"/>
        </w:rPr>
      </w:pPr>
      <w:r>
        <w:rPr>
          <w:color w:val="auto"/>
          <w:kern w:val="0"/>
          <w:sz w:val="24"/>
          <w:highlight w:val="none"/>
        </w:rPr>
        <w:t>所有热电偶将来的工作温度：室温～600℃（除了加热器管壁）。下表为需要的安装位置、精度等级和规格说明。插入式热电偶的安装位置和数量应保证回路不同温段的温度显示。安装方式、测量范围、测量精度、响应速度要合适，满足长时间进行腐蚀实验的要求。与流体介质接触的热电偶要耐腐蚀、抗压、抗冷热冲击。热电偶的布置位置和数量应满足回路设备、管道和流体介质的温度监控需要。所有热电偶均进行第三方检测或校准。</w:t>
      </w:r>
    </w:p>
    <w:p w14:paraId="28F68A78">
      <w:pPr>
        <w:keepNext/>
        <w:keepLines/>
        <w:widowControl/>
        <w:numPr>
          <w:ilvl w:val="0"/>
          <w:numId w:val="13"/>
        </w:numPr>
        <w:adjustRightInd w:val="0"/>
        <w:spacing w:before="200" w:line="30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压力测量</w:t>
      </w:r>
    </w:p>
    <w:p w14:paraId="07DA6E92">
      <w:pPr>
        <w:widowControl/>
        <w:spacing w:line="360" w:lineRule="auto"/>
        <w:ind w:firstLine="480" w:firstLineChars="200"/>
        <w:rPr>
          <w:color w:val="auto"/>
          <w:kern w:val="0"/>
          <w:sz w:val="24"/>
          <w:highlight w:val="none"/>
        </w:rPr>
      </w:pPr>
      <w:r>
        <w:rPr>
          <w:color w:val="auto"/>
          <w:kern w:val="0"/>
          <w:sz w:val="24"/>
          <w:highlight w:val="none"/>
        </w:rPr>
        <w:t>要求对于回路中的管道和各设备，既能测量惰性气体置换时的真空度和气相压力，又能测量液态锂铅循环过程中的液相压力。</w:t>
      </w:r>
    </w:p>
    <w:tbl>
      <w:tblPr>
        <w:tblStyle w:val="3"/>
        <w:tblW w:w="7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447"/>
        <w:gridCol w:w="1013"/>
        <w:gridCol w:w="1538"/>
        <w:gridCol w:w="2309"/>
      </w:tblGrid>
      <w:tr w14:paraId="765D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1607A8C7">
            <w:pPr>
              <w:widowControl/>
              <w:spacing w:line="360" w:lineRule="auto"/>
              <w:jc w:val="center"/>
              <w:rPr>
                <w:color w:val="auto"/>
                <w:kern w:val="0"/>
                <w:sz w:val="24"/>
                <w:highlight w:val="none"/>
              </w:rPr>
            </w:pPr>
            <w:r>
              <w:rPr>
                <w:color w:val="auto"/>
                <w:kern w:val="0"/>
                <w:sz w:val="24"/>
                <w:highlight w:val="none"/>
              </w:rPr>
              <w:t>类型</w:t>
            </w:r>
          </w:p>
        </w:tc>
        <w:tc>
          <w:tcPr>
            <w:tcW w:w="1447" w:type="dxa"/>
            <w:noWrap w:val="0"/>
            <w:vAlign w:val="center"/>
          </w:tcPr>
          <w:p w14:paraId="4E2315C4">
            <w:pPr>
              <w:widowControl/>
              <w:spacing w:line="360" w:lineRule="auto"/>
              <w:jc w:val="center"/>
              <w:rPr>
                <w:color w:val="auto"/>
                <w:kern w:val="0"/>
                <w:sz w:val="24"/>
                <w:highlight w:val="none"/>
              </w:rPr>
            </w:pPr>
            <w:r>
              <w:rPr>
                <w:color w:val="auto"/>
                <w:kern w:val="0"/>
                <w:sz w:val="24"/>
                <w:highlight w:val="none"/>
              </w:rPr>
              <w:t>位置</w:t>
            </w:r>
          </w:p>
        </w:tc>
        <w:tc>
          <w:tcPr>
            <w:tcW w:w="1013" w:type="dxa"/>
            <w:noWrap w:val="0"/>
            <w:vAlign w:val="center"/>
          </w:tcPr>
          <w:p w14:paraId="5BFF245E">
            <w:pPr>
              <w:widowControl/>
              <w:spacing w:line="360" w:lineRule="auto"/>
              <w:jc w:val="center"/>
              <w:rPr>
                <w:color w:val="auto"/>
                <w:kern w:val="0"/>
                <w:sz w:val="24"/>
                <w:highlight w:val="none"/>
              </w:rPr>
            </w:pPr>
            <w:r>
              <w:rPr>
                <w:color w:val="auto"/>
                <w:kern w:val="0"/>
                <w:sz w:val="24"/>
                <w:highlight w:val="none"/>
              </w:rPr>
              <w:t>数目</w:t>
            </w:r>
          </w:p>
        </w:tc>
        <w:tc>
          <w:tcPr>
            <w:tcW w:w="1538" w:type="dxa"/>
            <w:noWrap w:val="0"/>
            <w:vAlign w:val="center"/>
          </w:tcPr>
          <w:p w14:paraId="516E59D8">
            <w:pPr>
              <w:widowControl/>
              <w:spacing w:line="360" w:lineRule="auto"/>
              <w:jc w:val="center"/>
              <w:rPr>
                <w:color w:val="auto"/>
                <w:kern w:val="0"/>
                <w:sz w:val="24"/>
                <w:highlight w:val="none"/>
              </w:rPr>
            </w:pPr>
            <w:r>
              <w:rPr>
                <w:color w:val="auto"/>
                <w:kern w:val="0"/>
                <w:sz w:val="24"/>
                <w:highlight w:val="none"/>
              </w:rPr>
              <w:t>设计温度</w:t>
            </w:r>
          </w:p>
        </w:tc>
        <w:tc>
          <w:tcPr>
            <w:tcW w:w="2309" w:type="dxa"/>
            <w:noWrap w:val="0"/>
            <w:vAlign w:val="center"/>
          </w:tcPr>
          <w:p w14:paraId="5BEDD958">
            <w:pPr>
              <w:widowControl/>
              <w:spacing w:line="360" w:lineRule="auto"/>
              <w:jc w:val="center"/>
              <w:rPr>
                <w:color w:val="auto"/>
                <w:kern w:val="0"/>
                <w:sz w:val="24"/>
                <w:highlight w:val="none"/>
              </w:rPr>
            </w:pPr>
            <w:r>
              <w:rPr>
                <w:color w:val="auto"/>
                <w:kern w:val="0"/>
                <w:sz w:val="24"/>
                <w:highlight w:val="none"/>
              </w:rPr>
              <w:t>测量需求</w:t>
            </w:r>
          </w:p>
        </w:tc>
      </w:tr>
      <w:tr w14:paraId="70A7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4875EDB3">
            <w:pPr>
              <w:widowControl/>
              <w:spacing w:line="360" w:lineRule="auto"/>
              <w:jc w:val="center"/>
              <w:rPr>
                <w:color w:val="auto"/>
                <w:kern w:val="0"/>
                <w:sz w:val="24"/>
                <w:highlight w:val="none"/>
              </w:rPr>
            </w:pPr>
            <w:r>
              <w:rPr>
                <w:color w:val="auto"/>
                <w:kern w:val="0"/>
                <w:sz w:val="24"/>
                <w:highlight w:val="none"/>
              </w:rPr>
              <w:t>气压</w:t>
            </w:r>
          </w:p>
        </w:tc>
        <w:tc>
          <w:tcPr>
            <w:tcW w:w="1447" w:type="dxa"/>
            <w:noWrap w:val="0"/>
            <w:vAlign w:val="center"/>
          </w:tcPr>
          <w:p w14:paraId="481D0461">
            <w:pPr>
              <w:widowControl/>
              <w:spacing w:line="360" w:lineRule="auto"/>
              <w:jc w:val="center"/>
              <w:rPr>
                <w:color w:val="auto"/>
                <w:kern w:val="0"/>
                <w:sz w:val="24"/>
                <w:highlight w:val="none"/>
              </w:rPr>
            </w:pPr>
            <w:r>
              <w:rPr>
                <w:color w:val="auto"/>
                <w:kern w:val="0"/>
                <w:sz w:val="24"/>
                <w:highlight w:val="none"/>
              </w:rPr>
              <w:t>锂铅储罐</w:t>
            </w:r>
          </w:p>
        </w:tc>
        <w:tc>
          <w:tcPr>
            <w:tcW w:w="1013" w:type="dxa"/>
            <w:noWrap w:val="0"/>
            <w:vAlign w:val="center"/>
          </w:tcPr>
          <w:p w14:paraId="4A49BF75">
            <w:pPr>
              <w:widowControl/>
              <w:spacing w:line="360" w:lineRule="auto"/>
              <w:jc w:val="center"/>
              <w:rPr>
                <w:color w:val="auto"/>
                <w:kern w:val="0"/>
                <w:sz w:val="24"/>
                <w:highlight w:val="none"/>
              </w:rPr>
            </w:pPr>
            <w:r>
              <w:rPr>
                <w:color w:val="auto"/>
                <w:kern w:val="0"/>
                <w:sz w:val="24"/>
                <w:highlight w:val="none"/>
              </w:rPr>
              <w:t>1</w:t>
            </w:r>
          </w:p>
        </w:tc>
        <w:tc>
          <w:tcPr>
            <w:tcW w:w="1538" w:type="dxa"/>
            <w:noWrap w:val="0"/>
            <w:vAlign w:val="center"/>
          </w:tcPr>
          <w:p w14:paraId="03B254B7">
            <w:pPr>
              <w:widowControl/>
              <w:spacing w:line="360" w:lineRule="auto"/>
              <w:jc w:val="center"/>
              <w:rPr>
                <w:color w:val="auto"/>
                <w:kern w:val="0"/>
                <w:sz w:val="24"/>
                <w:highlight w:val="none"/>
              </w:rPr>
            </w:pPr>
            <w:r>
              <w:rPr>
                <w:color w:val="auto"/>
                <w:kern w:val="0"/>
                <w:sz w:val="24"/>
                <w:highlight w:val="none"/>
              </w:rPr>
              <w:t>-</w:t>
            </w:r>
          </w:p>
        </w:tc>
        <w:tc>
          <w:tcPr>
            <w:tcW w:w="2309" w:type="dxa"/>
            <w:noWrap w:val="0"/>
            <w:vAlign w:val="center"/>
          </w:tcPr>
          <w:p w14:paraId="4E8B5DEE">
            <w:pPr>
              <w:widowControl/>
              <w:spacing w:line="360" w:lineRule="auto"/>
              <w:jc w:val="center"/>
              <w:rPr>
                <w:color w:val="auto"/>
                <w:kern w:val="0"/>
                <w:sz w:val="24"/>
                <w:highlight w:val="none"/>
              </w:rPr>
            </w:pPr>
            <w:r>
              <w:rPr>
                <w:color w:val="auto"/>
                <w:kern w:val="0"/>
                <w:sz w:val="24"/>
                <w:highlight w:val="none"/>
              </w:rPr>
              <w:t>-0.1- 1 MPa</w:t>
            </w:r>
          </w:p>
        </w:tc>
      </w:tr>
      <w:tr w14:paraId="6EB1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477F40EF">
            <w:pPr>
              <w:widowControl/>
              <w:spacing w:line="360" w:lineRule="auto"/>
              <w:jc w:val="center"/>
              <w:rPr>
                <w:color w:val="auto"/>
                <w:kern w:val="0"/>
                <w:sz w:val="24"/>
                <w:highlight w:val="none"/>
              </w:rPr>
            </w:pPr>
            <w:r>
              <w:rPr>
                <w:color w:val="auto"/>
                <w:kern w:val="0"/>
                <w:sz w:val="24"/>
                <w:highlight w:val="none"/>
              </w:rPr>
              <w:t>气压</w:t>
            </w:r>
          </w:p>
        </w:tc>
        <w:tc>
          <w:tcPr>
            <w:tcW w:w="1447" w:type="dxa"/>
            <w:noWrap w:val="0"/>
            <w:vAlign w:val="center"/>
          </w:tcPr>
          <w:p w14:paraId="3A188420">
            <w:pPr>
              <w:widowControl/>
              <w:spacing w:line="360" w:lineRule="auto"/>
              <w:jc w:val="center"/>
              <w:rPr>
                <w:color w:val="auto"/>
                <w:kern w:val="0"/>
                <w:sz w:val="24"/>
                <w:highlight w:val="none"/>
              </w:rPr>
            </w:pPr>
            <w:r>
              <w:rPr>
                <w:color w:val="auto"/>
                <w:kern w:val="0"/>
                <w:sz w:val="24"/>
                <w:highlight w:val="none"/>
              </w:rPr>
              <w:t>膨胀罐</w:t>
            </w:r>
          </w:p>
        </w:tc>
        <w:tc>
          <w:tcPr>
            <w:tcW w:w="1013" w:type="dxa"/>
            <w:noWrap w:val="0"/>
            <w:vAlign w:val="center"/>
          </w:tcPr>
          <w:p w14:paraId="79EF51F0">
            <w:pPr>
              <w:widowControl/>
              <w:spacing w:line="360" w:lineRule="auto"/>
              <w:jc w:val="center"/>
              <w:rPr>
                <w:color w:val="auto"/>
                <w:kern w:val="0"/>
                <w:sz w:val="24"/>
                <w:highlight w:val="none"/>
              </w:rPr>
            </w:pPr>
            <w:r>
              <w:rPr>
                <w:color w:val="auto"/>
                <w:kern w:val="0"/>
                <w:sz w:val="24"/>
                <w:highlight w:val="none"/>
              </w:rPr>
              <w:t>1</w:t>
            </w:r>
          </w:p>
        </w:tc>
        <w:tc>
          <w:tcPr>
            <w:tcW w:w="1538" w:type="dxa"/>
            <w:noWrap w:val="0"/>
            <w:vAlign w:val="center"/>
          </w:tcPr>
          <w:p w14:paraId="5D0B7D57">
            <w:pPr>
              <w:widowControl/>
              <w:spacing w:line="360" w:lineRule="auto"/>
              <w:jc w:val="center"/>
              <w:rPr>
                <w:color w:val="auto"/>
                <w:kern w:val="0"/>
                <w:sz w:val="24"/>
                <w:highlight w:val="none"/>
              </w:rPr>
            </w:pPr>
            <w:r>
              <w:rPr>
                <w:color w:val="auto"/>
                <w:kern w:val="0"/>
                <w:sz w:val="24"/>
                <w:highlight w:val="none"/>
              </w:rPr>
              <w:t>-</w:t>
            </w:r>
          </w:p>
        </w:tc>
        <w:tc>
          <w:tcPr>
            <w:tcW w:w="2309" w:type="dxa"/>
            <w:noWrap w:val="0"/>
            <w:vAlign w:val="center"/>
          </w:tcPr>
          <w:p w14:paraId="412D8065">
            <w:pPr>
              <w:widowControl/>
              <w:spacing w:line="360" w:lineRule="auto"/>
              <w:jc w:val="center"/>
              <w:rPr>
                <w:color w:val="auto"/>
                <w:kern w:val="0"/>
                <w:sz w:val="24"/>
                <w:highlight w:val="none"/>
              </w:rPr>
            </w:pPr>
            <w:r>
              <w:rPr>
                <w:color w:val="auto"/>
                <w:kern w:val="0"/>
                <w:sz w:val="24"/>
                <w:highlight w:val="none"/>
              </w:rPr>
              <w:t>-0.1- 1 MPa</w:t>
            </w:r>
          </w:p>
        </w:tc>
      </w:tr>
      <w:tr w14:paraId="0EAE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4D3BC679">
            <w:pPr>
              <w:widowControl/>
              <w:spacing w:line="360" w:lineRule="auto"/>
              <w:jc w:val="center"/>
              <w:rPr>
                <w:color w:val="auto"/>
                <w:kern w:val="0"/>
                <w:sz w:val="24"/>
                <w:highlight w:val="none"/>
              </w:rPr>
            </w:pPr>
            <w:r>
              <w:rPr>
                <w:color w:val="auto"/>
                <w:kern w:val="0"/>
                <w:sz w:val="24"/>
                <w:highlight w:val="none"/>
              </w:rPr>
              <w:t>锂铅差压</w:t>
            </w:r>
          </w:p>
        </w:tc>
        <w:tc>
          <w:tcPr>
            <w:tcW w:w="1447" w:type="dxa"/>
            <w:noWrap w:val="0"/>
            <w:vAlign w:val="center"/>
          </w:tcPr>
          <w:p w14:paraId="2D973ABE">
            <w:pPr>
              <w:widowControl/>
              <w:spacing w:line="360" w:lineRule="auto"/>
              <w:jc w:val="center"/>
              <w:rPr>
                <w:color w:val="auto"/>
                <w:kern w:val="0"/>
                <w:sz w:val="24"/>
                <w:highlight w:val="none"/>
              </w:rPr>
            </w:pPr>
            <w:r>
              <w:rPr>
                <w:color w:val="auto"/>
                <w:kern w:val="0"/>
                <w:sz w:val="24"/>
                <w:highlight w:val="none"/>
              </w:rPr>
              <w:t>过滤器两端</w:t>
            </w:r>
          </w:p>
        </w:tc>
        <w:tc>
          <w:tcPr>
            <w:tcW w:w="1013" w:type="dxa"/>
            <w:noWrap w:val="0"/>
            <w:vAlign w:val="center"/>
          </w:tcPr>
          <w:p w14:paraId="7E288498">
            <w:pPr>
              <w:widowControl/>
              <w:spacing w:line="360" w:lineRule="auto"/>
              <w:jc w:val="center"/>
              <w:rPr>
                <w:color w:val="auto"/>
                <w:kern w:val="0"/>
                <w:sz w:val="24"/>
                <w:highlight w:val="none"/>
              </w:rPr>
            </w:pPr>
            <w:r>
              <w:rPr>
                <w:color w:val="auto"/>
                <w:kern w:val="0"/>
                <w:sz w:val="24"/>
                <w:highlight w:val="none"/>
              </w:rPr>
              <w:t>1</w:t>
            </w:r>
          </w:p>
        </w:tc>
        <w:tc>
          <w:tcPr>
            <w:tcW w:w="1538" w:type="dxa"/>
            <w:noWrap w:val="0"/>
            <w:vAlign w:val="center"/>
          </w:tcPr>
          <w:p w14:paraId="052B68C5">
            <w:pPr>
              <w:widowControl/>
              <w:spacing w:line="360" w:lineRule="auto"/>
              <w:jc w:val="center"/>
              <w:rPr>
                <w:color w:val="auto"/>
                <w:kern w:val="0"/>
                <w:sz w:val="24"/>
                <w:highlight w:val="none"/>
              </w:rPr>
            </w:pPr>
            <w:r>
              <w:rPr>
                <w:color w:val="auto"/>
                <w:kern w:val="0"/>
                <w:sz w:val="24"/>
                <w:highlight w:val="none"/>
              </w:rPr>
              <w:t>450℃</w:t>
            </w:r>
          </w:p>
        </w:tc>
        <w:tc>
          <w:tcPr>
            <w:tcW w:w="2309" w:type="dxa"/>
            <w:noWrap w:val="0"/>
            <w:vAlign w:val="center"/>
          </w:tcPr>
          <w:p w14:paraId="1BD3D6DA">
            <w:pPr>
              <w:widowControl/>
              <w:spacing w:line="360" w:lineRule="auto"/>
              <w:jc w:val="center"/>
              <w:rPr>
                <w:color w:val="auto"/>
                <w:kern w:val="0"/>
                <w:sz w:val="24"/>
                <w:highlight w:val="none"/>
              </w:rPr>
            </w:pPr>
            <w:r>
              <w:rPr>
                <w:color w:val="auto"/>
                <w:kern w:val="0"/>
                <w:sz w:val="24"/>
                <w:highlight w:val="none"/>
              </w:rPr>
              <w:t>-101.3 kPa ~300 kPa</w:t>
            </w:r>
          </w:p>
        </w:tc>
      </w:tr>
      <w:tr w14:paraId="1428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165C83EE">
            <w:pPr>
              <w:widowControl/>
              <w:spacing w:line="360" w:lineRule="auto"/>
              <w:jc w:val="center"/>
              <w:rPr>
                <w:color w:val="auto"/>
                <w:kern w:val="0"/>
                <w:sz w:val="24"/>
                <w:highlight w:val="none"/>
              </w:rPr>
            </w:pPr>
            <w:r>
              <w:rPr>
                <w:color w:val="auto"/>
                <w:kern w:val="0"/>
                <w:sz w:val="24"/>
                <w:highlight w:val="none"/>
              </w:rPr>
              <w:t>锂铅差压</w:t>
            </w:r>
          </w:p>
        </w:tc>
        <w:tc>
          <w:tcPr>
            <w:tcW w:w="1447" w:type="dxa"/>
            <w:noWrap w:val="0"/>
            <w:vAlign w:val="center"/>
          </w:tcPr>
          <w:p w14:paraId="5A45ECA9">
            <w:pPr>
              <w:widowControl/>
              <w:spacing w:line="360" w:lineRule="auto"/>
              <w:jc w:val="center"/>
              <w:rPr>
                <w:color w:val="auto"/>
                <w:kern w:val="0"/>
                <w:sz w:val="24"/>
                <w:highlight w:val="none"/>
              </w:rPr>
            </w:pPr>
            <w:r>
              <w:rPr>
                <w:color w:val="auto"/>
                <w:kern w:val="0"/>
                <w:sz w:val="24"/>
                <w:highlight w:val="none"/>
              </w:rPr>
              <w:t>驱动泵进出口</w:t>
            </w:r>
          </w:p>
        </w:tc>
        <w:tc>
          <w:tcPr>
            <w:tcW w:w="1013" w:type="dxa"/>
            <w:noWrap w:val="0"/>
            <w:vAlign w:val="center"/>
          </w:tcPr>
          <w:p w14:paraId="673AB635">
            <w:pPr>
              <w:widowControl/>
              <w:spacing w:line="360" w:lineRule="auto"/>
              <w:jc w:val="center"/>
              <w:rPr>
                <w:color w:val="auto"/>
                <w:kern w:val="0"/>
                <w:sz w:val="24"/>
                <w:highlight w:val="none"/>
              </w:rPr>
            </w:pPr>
            <w:r>
              <w:rPr>
                <w:color w:val="auto"/>
                <w:kern w:val="0"/>
                <w:sz w:val="24"/>
                <w:highlight w:val="none"/>
              </w:rPr>
              <w:t>各1</w:t>
            </w:r>
          </w:p>
        </w:tc>
        <w:tc>
          <w:tcPr>
            <w:tcW w:w="1538" w:type="dxa"/>
            <w:noWrap w:val="0"/>
            <w:vAlign w:val="center"/>
          </w:tcPr>
          <w:p w14:paraId="6017522F">
            <w:pPr>
              <w:widowControl/>
              <w:spacing w:line="360" w:lineRule="auto"/>
              <w:jc w:val="center"/>
              <w:rPr>
                <w:color w:val="auto"/>
                <w:kern w:val="0"/>
                <w:sz w:val="24"/>
                <w:highlight w:val="none"/>
              </w:rPr>
            </w:pPr>
            <w:r>
              <w:rPr>
                <w:color w:val="auto"/>
                <w:kern w:val="0"/>
                <w:sz w:val="24"/>
                <w:highlight w:val="none"/>
              </w:rPr>
              <w:t>450℃</w:t>
            </w:r>
          </w:p>
        </w:tc>
        <w:tc>
          <w:tcPr>
            <w:tcW w:w="2309" w:type="dxa"/>
            <w:noWrap w:val="0"/>
            <w:vAlign w:val="center"/>
          </w:tcPr>
          <w:p w14:paraId="18FD470E">
            <w:pPr>
              <w:widowControl/>
              <w:spacing w:line="360" w:lineRule="auto"/>
              <w:jc w:val="center"/>
              <w:rPr>
                <w:color w:val="auto"/>
                <w:kern w:val="0"/>
                <w:sz w:val="24"/>
                <w:highlight w:val="none"/>
              </w:rPr>
            </w:pPr>
            <w:r>
              <w:rPr>
                <w:color w:val="auto"/>
                <w:kern w:val="0"/>
                <w:sz w:val="24"/>
                <w:highlight w:val="none"/>
              </w:rPr>
              <w:t>-0.1- 1 MPa</w:t>
            </w:r>
          </w:p>
        </w:tc>
      </w:tr>
      <w:tr w14:paraId="3105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6EAB5493">
            <w:pPr>
              <w:widowControl/>
              <w:spacing w:line="360" w:lineRule="auto"/>
              <w:jc w:val="center"/>
              <w:rPr>
                <w:color w:val="auto"/>
                <w:kern w:val="0"/>
                <w:sz w:val="24"/>
                <w:highlight w:val="none"/>
              </w:rPr>
            </w:pPr>
            <w:r>
              <w:rPr>
                <w:color w:val="auto"/>
                <w:kern w:val="0"/>
                <w:sz w:val="24"/>
                <w:highlight w:val="none"/>
              </w:rPr>
              <w:t>气压</w:t>
            </w:r>
          </w:p>
        </w:tc>
        <w:tc>
          <w:tcPr>
            <w:tcW w:w="1447" w:type="dxa"/>
            <w:noWrap w:val="0"/>
            <w:vAlign w:val="center"/>
          </w:tcPr>
          <w:p w14:paraId="37246C49">
            <w:pPr>
              <w:widowControl/>
              <w:spacing w:line="360" w:lineRule="auto"/>
              <w:jc w:val="center"/>
              <w:rPr>
                <w:color w:val="auto"/>
                <w:kern w:val="0"/>
                <w:sz w:val="24"/>
                <w:highlight w:val="none"/>
              </w:rPr>
            </w:pPr>
            <w:r>
              <w:rPr>
                <w:color w:val="auto"/>
                <w:kern w:val="0"/>
                <w:sz w:val="24"/>
                <w:highlight w:val="none"/>
              </w:rPr>
              <w:t>真空回路</w:t>
            </w:r>
          </w:p>
        </w:tc>
        <w:tc>
          <w:tcPr>
            <w:tcW w:w="1013" w:type="dxa"/>
            <w:noWrap w:val="0"/>
            <w:vAlign w:val="center"/>
          </w:tcPr>
          <w:p w14:paraId="2F56554C">
            <w:pPr>
              <w:widowControl/>
              <w:spacing w:line="360" w:lineRule="auto"/>
              <w:jc w:val="center"/>
              <w:rPr>
                <w:color w:val="auto"/>
                <w:kern w:val="0"/>
                <w:sz w:val="24"/>
                <w:highlight w:val="none"/>
              </w:rPr>
            </w:pPr>
            <w:r>
              <w:rPr>
                <w:color w:val="auto"/>
                <w:kern w:val="0"/>
                <w:sz w:val="24"/>
                <w:highlight w:val="none"/>
              </w:rPr>
              <w:t>若干</w:t>
            </w:r>
          </w:p>
        </w:tc>
        <w:tc>
          <w:tcPr>
            <w:tcW w:w="1538" w:type="dxa"/>
            <w:noWrap w:val="0"/>
            <w:vAlign w:val="center"/>
          </w:tcPr>
          <w:p w14:paraId="5022DB19">
            <w:pPr>
              <w:widowControl/>
              <w:spacing w:line="360" w:lineRule="auto"/>
              <w:jc w:val="center"/>
              <w:rPr>
                <w:color w:val="auto"/>
                <w:kern w:val="0"/>
                <w:sz w:val="24"/>
                <w:highlight w:val="none"/>
              </w:rPr>
            </w:pPr>
            <w:r>
              <w:rPr>
                <w:color w:val="auto"/>
                <w:kern w:val="0"/>
                <w:sz w:val="24"/>
                <w:highlight w:val="none"/>
              </w:rPr>
              <w:t>-</w:t>
            </w:r>
          </w:p>
        </w:tc>
        <w:tc>
          <w:tcPr>
            <w:tcW w:w="2309" w:type="dxa"/>
            <w:noWrap w:val="0"/>
            <w:vAlign w:val="center"/>
          </w:tcPr>
          <w:p w14:paraId="02A8A10C">
            <w:pPr>
              <w:widowControl/>
              <w:spacing w:line="360" w:lineRule="auto"/>
              <w:jc w:val="center"/>
              <w:rPr>
                <w:color w:val="auto"/>
                <w:kern w:val="0"/>
                <w:sz w:val="24"/>
                <w:highlight w:val="none"/>
              </w:rPr>
            </w:pPr>
            <w:r>
              <w:rPr>
                <w:color w:val="auto"/>
                <w:kern w:val="0"/>
                <w:sz w:val="24"/>
                <w:highlight w:val="none"/>
              </w:rPr>
              <w:t>-0.1- 1 MPa</w:t>
            </w:r>
          </w:p>
        </w:tc>
      </w:tr>
      <w:tr w14:paraId="563B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noWrap w:val="0"/>
            <w:vAlign w:val="center"/>
          </w:tcPr>
          <w:p w14:paraId="1EB43844">
            <w:pPr>
              <w:widowControl/>
              <w:spacing w:line="360" w:lineRule="auto"/>
              <w:jc w:val="center"/>
              <w:rPr>
                <w:color w:val="auto"/>
                <w:kern w:val="0"/>
                <w:sz w:val="24"/>
                <w:highlight w:val="none"/>
              </w:rPr>
            </w:pPr>
            <w:r>
              <w:rPr>
                <w:color w:val="auto"/>
                <w:kern w:val="0"/>
                <w:sz w:val="24"/>
                <w:highlight w:val="none"/>
              </w:rPr>
              <w:t>气压</w:t>
            </w:r>
          </w:p>
        </w:tc>
        <w:tc>
          <w:tcPr>
            <w:tcW w:w="1447" w:type="dxa"/>
            <w:noWrap w:val="0"/>
            <w:vAlign w:val="center"/>
          </w:tcPr>
          <w:p w14:paraId="11BDF624">
            <w:pPr>
              <w:widowControl/>
              <w:spacing w:line="360" w:lineRule="auto"/>
              <w:jc w:val="center"/>
              <w:rPr>
                <w:color w:val="auto"/>
                <w:kern w:val="0"/>
                <w:sz w:val="24"/>
                <w:highlight w:val="none"/>
              </w:rPr>
            </w:pPr>
            <w:r>
              <w:rPr>
                <w:color w:val="auto"/>
                <w:kern w:val="0"/>
                <w:sz w:val="24"/>
                <w:highlight w:val="none"/>
              </w:rPr>
              <w:t>气相回路</w:t>
            </w:r>
          </w:p>
        </w:tc>
        <w:tc>
          <w:tcPr>
            <w:tcW w:w="1013" w:type="dxa"/>
            <w:noWrap w:val="0"/>
            <w:vAlign w:val="center"/>
          </w:tcPr>
          <w:p w14:paraId="523033E3">
            <w:pPr>
              <w:widowControl/>
              <w:spacing w:line="360" w:lineRule="auto"/>
              <w:jc w:val="center"/>
              <w:rPr>
                <w:color w:val="auto"/>
                <w:kern w:val="0"/>
                <w:sz w:val="24"/>
                <w:highlight w:val="none"/>
              </w:rPr>
            </w:pPr>
            <w:r>
              <w:rPr>
                <w:color w:val="auto"/>
                <w:kern w:val="0"/>
                <w:sz w:val="24"/>
                <w:highlight w:val="none"/>
              </w:rPr>
              <w:t>若干</w:t>
            </w:r>
          </w:p>
        </w:tc>
        <w:tc>
          <w:tcPr>
            <w:tcW w:w="1538" w:type="dxa"/>
            <w:noWrap w:val="0"/>
            <w:vAlign w:val="center"/>
          </w:tcPr>
          <w:p w14:paraId="031D76F3">
            <w:pPr>
              <w:widowControl/>
              <w:spacing w:line="360" w:lineRule="auto"/>
              <w:jc w:val="center"/>
              <w:rPr>
                <w:color w:val="auto"/>
                <w:kern w:val="0"/>
                <w:sz w:val="24"/>
                <w:highlight w:val="none"/>
              </w:rPr>
            </w:pPr>
            <w:r>
              <w:rPr>
                <w:color w:val="auto"/>
                <w:kern w:val="0"/>
                <w:sz w:val="24"/>
                <w:highlight w:val="none"/>
              </w:rPr>
              <w:t>-</w:t>
            </w:r>
          </w:p>
        </w:tc>
        <w:tc>
          <w:tcPr>
            <w:tcW w:w="2309" w:type="dxa"/>
            <w:noWrap w:val="0"/>
            <w:vAlign w:val="center"/>
          </w:tcPr>
          <w:p w14:paraId="09D522D4">
            <w:pPr>
              <w:widowControl/>
              <w:spacing w:line="360" w:lineRule="auto"/>
              <w:jc w:val="center"/>
              <w:rPr>
                <w:color w:val="auto"/>
                <w:kern w:val="0"/>
                <w:sz w:val="24"/>
                <w:highlight w:val="none"/>
              </w:rPr>
            </w:pPr>
            <w:r>
              <w:rPr>
                <w:color w:val="auto"/>
                <w:kern w:val="0"/>
                <w:sz w:val="24"/>
                <w:highlight w:val="none"/>
              </w:rPr>
              <w:t>-0.1- 1 MPa</w:t>
            </w:r>
          </w:p>
        </w:tc>
      </w:tr>
    </w:tbl>
    <w:p w14:paraId="1243BA95">
      <w:pPr>
        <w:widowControl/>
        <w:spacing w:line="360" w:lineRule="auto"/>
        <w:ind w:firstLine="480" w:firstLineChars="200"/>
        <w:rPr>
          <w:color w:val="auto"/>
          <w:kern w:val="0"/>
          <w:sz w:val="24"/>
          <w:highlight w:val="none"/>
        </w:rPr>
      </w:pPr>
      <w:r>
        <w:rPr>
          <w:color w:val="auto"/>
          <w:kern w:val="0"/>
          <w:sz w:val="24"/>
          <w:highlight w:val="none"/>
        </w:rPr>
        <w:t>与热电偶类似，压力变送器选型和安装的最终原则是：</w:t>
      </w:r>
    </w:p>
    <w:p w14:paraId="41196EA7">
      <w:pPr>
        <w:widowControl/>
        <w:numPr>
          <w:ilvl w:val="0"/>
          <w:numId w:val="15"/>
        </w:numPr>
        <w:spacing w:line="360" w:lineRule="auto"/>
        <w:ind w:left="0" w:firstLine="480" w:firstLineChars="200"/>
        <w:rPr>
          <w:color w:val="auto"/>
          <w:kern w:val="0"/>
          <w:sz w:val="24"/>
          <w:highlight w:val="none"/>
        </w:rPr>
      </w:pPr>
      <w:r>
        <w:rPr>
          <w:color w:val="auto"/>
          <w:kern w:val="0"/>
          <w:sz w:val="24"/>
          <w:highlight w:val="none"/>
        </w:rPr>
        <w:t>安装方式、测量范围、测量精度、响应速度要合适，满足长时间进行腐蚀实验的要求。</w:t>
      </w:r>
    </w:p>
    <w:p w14:paraId="6AE8B232">
      <w:pPr>
        <w:widowControl/>
        <w:numPr>
          <w:ilvl w:val="0"/>
          <w:numId w:val="15"/>
        </w:numPr>
        <w:spacing w:line="360" w:lineRule="auto"/>
        <w:ind w:left="0" w:firstLine="480" w:firstLineChars="200"/>
        <w:rPr>
          <w:color w:val="auto"/>
          <w:kern w:val="0"/>
          <w:sz w:val="24"/>
          <w:highlight w:val="none"/>
        </w:rPr>
      </w:pPr>
      <w:r>
        <w:rPr>
          <w:color w:val="auto"/>
          <w:kern w:val="0"/>
          <w:sz w:val="24"/>
          <w:highlight w:val="none"/>
        </w:rPr>
        <w:t>压力变送器的布置位置和数量应满足回路设备、管道和流体介质的压力监控需要。</w:t>
      </w:r>
    </w:p>
    <w:p w14:paraId="0B29247D">
      <w:pPr>
        <w:widowControl/>
        <w:numPr>
          <w:ilvl w:val="0"/>
          <w:numId w:val="15"/>
        </w:numPr>
        <w:spacing w:line="360" w:lineRule="auto"/>
        <w:ind w:left="0" w:firstLine="480" w:firstLineChars="200"/>
        <w:rPr>
          <w:color w:val="auto"/>
          <w:kern w:val="0"/>
          <w:sz w:val="24"/>
          <w:highlight w:val="none"/>
        </w:rPr>
      </w:pPr>
      <w:r>
        <w:rPr>
          <w:color w:val="auto"/>
          <w:kern w:val="0"/>
          <w:sz w:val="24"/>
          <w:highlight w:val="none"/>
        </w:rPr>
        <w:t>所有压力变送器均进行检定或校准。</w:t>
      </w:r>
    </w:p>
    <w:p w14:paraId="0CC122BF">
      <w:pPr>
        <w:keepNext/>
        <w:keepLines/>
        <w:widowControl/>
        <w:numPr>
          <w:ilvl w:val="0"/>
          <w:numId w:val="13"/>
        </w:numPr>
        <w:adjustRightInd w:val="0"/>
        <w:spacing w:before="200" w:line="300" w:lineRule="auto"/>
        <w:ind w:left="0" w:firstLine="560" w:firstLineChars="200"/>
        <w:outlineLvl w:val="3"/>
        <w:rPr>
          <w:rFonts w:eastAsia="黑体"/>
          <w:bCs/>
          <w:color w:val="auto"/>
          <w:sz w:val="28"/>
          <w:szCs w:val="28"/>
          <w:highlight w:val="none"/>
        </w:rPr>
      </w:pPr>
      <w:r>
        <w:rPr>
          <w:rFonts w:eastAsia="黑体"/>
          <w:bCs/>
          <w:color w:val="auto"/>
          <w:sz w:val="28"/>
          <w:szCs w:val="28"/>
          <w:highlight w:val="none"/>
        </w:rPr>
        <w:t xml:space="preserve">液位测量 </w:t>
      </w:r>
      <w:r>
        <w:rPr>
          <w:rFonts w:eastAsia="黑体"/>
          <w:bCs/>
          <w:color w:val="auto"/>
          <w:sz w:val="28"/>
          <w:szCs w:val="28"/>
          <w:highlight w:val="none"/>
        </w:rPr>
        <w:tab/>
      </w:r>
    </w:p>
    <w:p w14:paraId="049348B2">
      <w:pPr>
        <w:widowControl/>
        <w:spacing w:line="360" w:lineRule="auto"/>
        <w:ind w:firstLine="480" w:firstLineChars="200"/>
        <w:rPr>
          <w:color w:val="auto"/>
          <w:kern w:val="0"/>
          <w:sz w:val="24"/>
          <w:highlight w:val="none"/>
        </w:rPr>
      </w:pPr>
      <w:r>
        <w:rPr>
          <w:color w:val="auto"/>
          <w:kern w:val="0"/>
          <w:sz w:val="24"/>
          <w:highlight w:val="none"/>
        </w:rPr>
        <w:t>需进行液位监测</w:t>
      </w:r>
      <w:r>
        <w:rPr>
          <w:rFonts w:hint="eastAsia"/>
          <w:color w:val="auto"/>
          <w:kern w:val="0"/>
          <w:sz w:val="24"/>
          <w:highlight w:val="none"/>
        </w:rPr>
        <w:t>的地方包括：</w:t>
      </w:r>
      <w:r>
        <w:rPr>
          <w:color w:val="auto"/>
          <w:kern w:val="0"/>
          <w:sz w:val="24"/>
          <w:highlight w:val="none"/>
        </w:rPr>
        <w:t>锂铅储罐、膨胀罐</w:t>
      </w:r>
      <w:r>
        <w:rPr>
          <w:rFonts w:hint="eastAsia"/>
          <w:color w:val="auto"/>
          <w:kern w:val="0"/>
          <w:sz w:val="24"/>
          <w:highlight w:val="none"/>
        </w:rPr>
        <w:t>及实验段2上方与手套箱接触的气相空间。</w:t>
      </w:r>
    </w:p>
    <w:p w14:paraId="343F2565">
      <w:pPr>
        <w:keepNext/>
        <w:keepLines/>
        <w:adjustRightInd w:val="0"/>
        <w:spacing w:line="300" w:lineRule="auto"/>
        <w:outlineLvl w:val="2"/>
        <w:rPr>
          <w:rFonts w:eastAsia="黑体"/>
          <w:color w:val="auto"/>
          <w:sz w:val="30"/>
          <w:highlight w:val="none"/>
        </w:rPr>
      </w:pPr>
      <w:bookmarkStart w:id="56" w:name="_Toc221784045"/>
      <w:r>
        <w:rPr>
          <w:rFonts w:eastAsia="黑体"/>
          <w:color w:val="auto"/>
          <w:sz w:val="30"/>
          <w:highlight w:val="none"/>
        </w:rPr>
        <w:t>3.4.10 控制与电气系统</w:t>
      </w:r>
      <w:bookmarkEnd w:id="56"/>
    </w:p>
    <w:p w14:paraId="4CB19FA8">
      <w:pPr>
        <w:widowControl/>
        <w:spacing w:line="360" w:lineRule="auto"/>
        <w:ind w:firstLine="480" w:firstLineChars="200"/>
        <w:rPr>
          <w:color w:val="auto"/>
          <w:kern w:val="0"/>
          <w:sz w:val="24"/>
          <w:highlight w:val="none"/>
        </w:rPr>
      </w:pPr>
      <w:r>
        <w:rPr>
          <w:color w:val="auto"/>
          <w:kern w:val="0"/>
          <w:sz w:val="24"/>
          <w:highlight w:val="none"/>
        </w:rPr>
        <w:t>应包含数据采集、数据存储与记录、控制功能、安全联锁功能、人机界面功能。在试验台旁边布置控制计算机，仪表测量参数不需要远传。但控制计算机可进行远程桌面连接。</w:t>
      </w:r>
    </w:p>
    <w:p w14:paraId="769083B6">
      <w:pPr>
        <w:widowControl/>
        <w:spacing w:line="360" w:lineRule="auto"/>
        <w:rPr>
          <w:color w:val="auto"/>
          <w:kern w:val="0"/>
          <w:sz w:val="24"/>
          <w:highlight w:val="none"/>
        </w:rPr>
      </w:pPr>
      <w:r>
        <w:rPr>
          <w:color w:val="auto"/>
          <w:kern w:val="0"/>
          <w:sz w:val="24"/>
          <w:highlight w:val="none"/>
        </w:rPr>
        <w:t>控制软件：PLC</w:t>
      </w:r>
    </w:p>
    <w:p w14:paraId="11A3620A">
      <w:pPr>
        <w:widowControl/>
        <w:spacing w:line="360" w:lineRule="auto"/>
        <w:ind w:firstLine="480" w:firstLineChars="200"/>
        <w:rPr>
          <w:color w:val="auto"/>
          <w:kern w:val="0"/>
          <w:sz w:val="24"/>
          <w:highlight w:val="none"/>
        </w:rPr>
      </w:pPr>
      <w:r>
        <w:rPr>
          <w:color w:val="auto"/>
          <w:kern w:val="0"/>
          <w:sz w:val="24"/>
          <w:highlight w:val="none"/>
        </w:rPr>
        <w:t>所有模拟量信号和现场信号之间增加信号隔离器进行信号隔离；所有数字量输出信号和现场信号之间增加隔离继电器进行信号隔离。</w:t>
      </w:r>
    </w:p>
    <w:p w14:paraId="14259E83">
      <w:pPr>
        <w:widowControl/>
        <w:spacing w:line="360" w:lineRule="auto"/>
        <w:ind w:firstLine="480" w:firstLineChars="200"/>
        <w:rPr>
          <w:color w:val="auto"/>
          <w:kern w:val="0"/>
          <w:sz w:val="24"/>
          <w:highlight w:val="none"/>
        </w:rPr>
      </w:pPr>
      <w:r>
        <w:rPr>
          <w:color w:val="auto"/>
          <w:kern w:val="0"/>
          <w:sz w:val="24"/>
          <w:highlight w:val="none"/>
        </w:rPr>
        <w:t>仪控电缆均选择带屏蔽抗干扰的电缆类型，敷设时电缆从现场一次元件或变送器经金属穿管引至带盖板的电缆桥架，通过电缆桥架敷设至控制柜，保证了信号的稳定性。电缆穿管可根据现场情况，本着避开高温，整齐美观，不影响交通，避开机械损伤的原则，在施工过程中酌情处理</w:t>
      </w:r>
    </w:p>
    <w:p w14:paraId="1D06B21F">
      <w:pPr>
        <w:widowControl/>
        <w:spacing w:line="360" w:lineRule="auto"/>
        <w:ind w:firstLine="482" w:firstLineChars="200"/>
        <w:rPr>
          <w:color w:val="auto"/>
          <w:kern w:val="0"/>
          <w:sz w:val="24"/>
          <w:highlight w:val="none"/>
        </w:rPr>
      </w:pPr>
      <w:r>
        <w:rPr>
          <w:b/>
          <w:bCs/>
          <w:color w:val="auto"/>
          <w:kern w:val="0"/>
          <w:sz w:val="24"/>
          <w:highlight w:val="none"/>
        </w:rPr>
        <w:t>I/O清单</w:t>
      </w:r>
    </w:p>
    <w:p w14:paraId="34415901">
      <w:pPr>
        <w:widowControl/>
        <w:spacing w:line="360" w:lineRule="auto"/>
        <w:ind w:firstLine="480" w:firstLineChars="200"/>
        <w:rPr>
          <w:color w:val="auto"/>
          <w:kern w:val="0"/>
          <w:sz w:val="24"/>
          <w:highlight w:val="none"/>
        </w:rPr>
      </w:pPr>
      <w:r>
        <w:rPr>
          <w:color w:val="auto"/>
          <w:kern w:val="0"/>
          <w:sz w:val="24"/>
          <w:highlight w:val="none"/>
        </w:rPr>
        <w:t>腐蚀回路系统涵盖5种IO类型。分别为：TC、DI、DO、AI、AO；分别来自温度、压力、流量、液位、阀门、加热器等设备，实现远程显示、记录、联锁等功能。</w:t>
      </w:r>
    </w:p>
    <w:p w14:paraId="582E9FC6">
      <w:pPr>
        <w:widowControl/>
        <w:spacing w:line="360" w:lineRule="auto"/>
        <w:ind w:firstLine="480" w:firstLineChars="200"/>
        <w:rPr>
          <w:color w:val="auto"/>
          <w:kern w:val="0"/>
          <w:sz w:val="24"/>
          <w:highlight w:val="none"/>
        </w:rPr>
      </w:pPr>
      <w:r>
        <w:rPr>
          <w:color w:val="auto"/>
          <w:kern w:val="0"/>
          <w:sz w:val="24"/>
          <w:highlight w:val="none"/>
        </w:rPr>
        <w:t>腐蚀回路实验回路系统设置低压配电柜1套，电源引自厂房配电室。</w:t>
      </w:r>
    </w:p>
    <w:p w14:paraId="625BB4E6">
      <w:pPr>
        <w:widowControl/>
        <w:spacing w:line="360" w:lineRule="auto"/>
        <w:ind w:firstLine="480" w:firstLineChars="200"/>
        <w:rPr>
          <w:color w:val="auto"/>
          <w:kern w:val="0"/>
          <w:sz w:val="24"/>
          <w:highlight w:val="none"/>
        </w:rPr>
      </w:pPr>
      <w:r>
        <w:rPr>
          <w:color w:val="auto"/>
          <w:kern w:val="0"/>
          <w:sz w:val="24"/>
          <w:highlight w:val="none"/>
        </w:rPr>
        <w:t>供电范围：真空泵、驱动泵、空冷器风机、加热器、外壁加热丝、阀门加热套、电动开关阀、电动调节阀等。</w:t>
      </w:r>
    </w:p>
    <w:p w14:paraId="18399614">
      <w:pPr>
        <w:widowControl/>
        <w:spacing w:line="360" w:lineRule="auto"/>
        <w:ind w:firstLine="480" w:firstLineChars="200"/>
        <w:rPr>
          <w:color w:val="auto"/>
          <w:kern w:val="0"/>
          <w:sz w:val="24"/>
          <w:highlight w:val="none"/>
        </w:rPr>
      </w:pPr>
      <w:r>
        <w:rPr>
          <w:color w:val="auto"/>
          <w:kern w:val="0"/>
          <w:sz w:val="24"/>
          <w:highlight w:val="none"/>
        </w:rPr>
        <w:t>电气柜包含：</w:t>
      </w:r>
    </w:p>
    <w:p w14:paraId="0E19F4C3">
      <w:pPr>
        <w:widowControl/>
        <w:spacing w:line="360" w:lineRule="auto"/>
        <w:ind w:firstLine="480" w:firstLineChars="200"/>
        <w:rPr>
          <w:color w:val="auto"/>
          <w:kern w:val="0"/>
          <w:sz w:val="24"/>
          <w:highlight w:val="none"/>
        </w:rPr>
      </w:pPr>
      <w:r>
        <w:rPr>
          <w:color w:val="auto"/>
          <w:kern w:val="0"/>
          <w:sz w:val="24"/>
          <w:highlight w:val="none"/>
        </w:rPr>
        <w:t>温控调功柜：安装温控器及调功器，用于加热设备的温度控制，柜面安装就地操作按钮、电位器及转换开关，可实现就地功率调节；其中：加热器的供电电压为380VAC，电加热丝及加热套供电电压为220VAC。</w:t>
      </w:r>
    </w:p>
    <w:p w14:paraId="138D7E17">
      <w:pPr>
        <w:widowControl/>
        <w:spacing w:line="360" w:lineRule="auto"/>
        <w:ind w:firstLine="480" w:firstLineChars="200"/>
        <w:rPr>
          <w:color w:val="auto"/>
          <w:kern w:val="0"/>
          <w:sz w:val="24"/>
          <w:highlight w:val="none"/>
        </w:rPr>
      </w:pPr>
      <w:r>
        <w:rPr>
          <w:color w:val="auto"/>
          <w:kern w:val="0"/>
          <w:sz w:val="24"/>
          <w:highlight w:val="none"/>
        </w:rPr>
        <w:t>驱动泵变频柜1台：由厂家成套提供，实现流量的调节控制。</w:t>
      </w:r>
    </w:p>
    <w:p w14:paraId="4ECDB8CB">
      <w:pPr>
        <w:widowControl/>
        <w:spacing w:line="360" w:lineRule="auto"/>
        <w:ind w:firstLine="480" w:firstLineChars="200"/>
        <w:rPr>
          <w:color w:val="auto"/>
          <w:kern w:val="0"/>
          <w:sz w:val="24"/>
          <w:highlight w:val="none"/>
        </w:rPr>
      </w:pPr>
      <w:r>
        <w:rPr>
          <w:color w:val="auto"/>
          <w:kern w:val="0"/>
          <w:sz w:val="24"/>
          <w:highlight w:val="none"/>
        </w:rPr>
        <w:t>电动阀均选用智能型电动阀，所有电动阀由现场阀门配电箱供电，由PLC进行远程阀控制。</w:t>
      </w:r>
    </w:p>
    <w:p w14:paraId="65C2E5E5">
      <w:pPr>
        <w:widowControl/>
        <w:spacing w:line="360" w:lineRule="auto"/>
        <w:ind w:firstLine="480" w:firstLineChars="200"/>
        <w:rPr>
          <w:color w:val="auto"/>
          <w:kern w:val="0"/>
          <w:sz w:val="24"/>
          <w:highlight w:val="none"/>
        </w:rPr>
      </w:pPr>
      <w:r>
        <w:rPr>
          <w:color w:val="auto"/>
          <w:kern w:val="0"/>
          <w:sz w:val="24"/>
          <w:highlight w:val="none"/>
        </w:rPr>
        <w:t>仪控专业要提供的设计文件应包括：</w:t>
      </w:r>
    </w:p>
    <w:p w14:paraId="278C9D25">
      <w:pPr>
        <w:widowControl/>
        <w:numPr>
          <w:ilvl w:val="0"/>
          <w:numId w:val="16"/>
        </w:numPr>
        <w:spacing w:line="360" w:lineRule="auto"/>
        <w:ind w:left="0" w:firstLine="480" w:firstLineChars="200"/>
        <w:rPr>
          <w:color w:val="auto"/>
          <w:kern w:val="0"/>
          <w:sz w:val="24"/>
          <w:highlight w:val="none"/>
        </w:rPr>
      </w:pPr>
      <w:r>
        <w:rPr>
          <w:color w:val="auto"/>
          <w:kern w:val="0"/>
          <w:sz w:val="24"/>
          <w:highlight w:val="none"/>
        </w:rPr>
        <w:t>设计说明</w:t>
      </w:r>
    </w:p>
    <w:p w14:paraId="586855DD">
      <w:pPr>
        <w:widowControl/>
        <w:numPr>
          <w:ilvl w:val="0"/>
          <w:numId w:val="16"/>
        </w:numPr>
        <w:spacing w:line="360" w:lineRule="auto"/>
        <w:ind w:left="0" w:firstLine="480" w:firstLineChars="200"/>
        <w:rPr>
          <w:color w:val="auto"/>
          <w:kern w:val="0"/>
          <w:sz w:val="24"/>
          <w:highlight w:val="none"/>
        </w:rPr>
      </w:pPr>
      <w:r>
        <w:rPr>
          <w:color w:val="auto"/>
          <w:kern w:val="0"/>
          <w:sz w:val="24"/>
          <w:highlight w:val="none"/>
        </w:rPr>
        <w:t>IO 清单</w:t>
      </w:r>
    </w:p>
    <w:p w14:paraId="6CF97ACC">
      <w:pPr>
        <w:widowControl/>
        <w:numPr>
          <w:ilvl w:val="0"/>
          <w:numId w:val="16"/>
        </w:numPr>
        <w:spacing w:line="360" w:lineRule="auto"/>
        <w:ind w:left="0" w:firstLine="480" w:firstLineChars="200"/>
        <w:rPr>
          <w:color w:val="auto"/>
          <w:kern w:val="0"/>
          <w:sz w:val="24"/>
          <w:highlight w:val="none"/>
        </w:rPr>
      </w:pPr>
      <w:r>
        <w:rPr>
          <w:color w:val="auto"/>
          <w:kern w:val="0"/>
          <w:sz w:val="24"/>
          <w:highlight w:val="none"/>
        </w:rPr>
        <w:t>仪表设备表</w:t>
      </w:r>
    </w:p>
    <w:p w14:paraId="46A3DA66">
      <w:pPr>
        <w:widowControl/>
        <w:numPr>
          <w:ilvl w:val="0"/>
          <w:numId w:val="16"/>
        </w:numPr>
        <w:spacing w:line="360" w:lineRule="auto"/>
        <w:ind w:left="0" w:firstLine="480" w:firstLineChars="200"/>
        <w:rPr>
          <w:color w:val="auto"/>
          <w:kern w:val="0"/>
          <w:sz w:val="24"/>
          <w:highlight w:val="none"/>
        </w:rPr>
      </w:pPr>
      <w:r>
        <w:rPr>
          <w:color w:val="auto"/>
          <w:kern w:val="0"/>
          <w:sz w:val="24"/>
          <w:highlight w:val="none"/>
        </w:rPr>
        <w:t>仪控电缆表</w:t>
      </w:r>
    </w:p>
    <w:p w14:paraId="31C97144">
      <w:pPr>
        <w:widowControl/>
        <w:numPr>
          <w:ilvl w:val="0"/>
          <w:numId w:val="16"/>
        </w:numPr>
        <w:spacing w:line="360" w:lineRule="auto"/>
        <w:ind w:left="0" w:firstLine="480" w:firstLineChars="200"/>
        <w:rPr>
          <w:color w:val="auto"/>
          <w:kern w:val="0"/>
          <w:sz w:val="24"/>
          <w:highlight w:val="none"/>
        </w:rPr>
      </w:pPr>
      <w:r>
        <w:rPr>
          <w:color w:val="auto"/>
          <w:kern w:val="0"/>
          <w:sz w:val="24"/>
          <w:highlight w:val="none"/>
        </w:rPr>
        <w:t>仪控材料表</w:t>
      </w:r>
    </w:p>
    <w:p w14:paraId="76F67BA5">
      <w:pPr>
        <w:widowControl/>
        <w:numPr>
          <w:ilvl w:val="0"/>
          <w:numId w:val="16"/>
        </w:numPr>
        <w:spacing w:line="360" w:lineRule="auto"/>
        <w:ind w:left="0" w:firstLine="480" w:firstLineChars="200"/>
        <w:rPr>
          <w:color w:val="auto"/>
          <w:kern w:val="0"/>
          <w:sz w:val="24"/>
          <w:highlight w:val="none"/>
        </w:rPr>
      </w:pPr>
      <w:r>
        <w:rPr>
          <w:color w:val="auto"/>
          <w:kern w:val="0"/>
          <w:sz w:val="24"/>
          <w:highlight w:val="none"/>
        </w:rPr>
        <w:t>仪表安装标准图</w:t>
      </w:r>
    </w:p>
    <w:p w14:paraId="3E3EEE2A">
      <w:pPr>
        <w:widowControl/>
        <w:numPr>
          <w:ilvl w:val="0"/>
          <w:numId w:val="16"/>
        </w:numPr>
        <w:spacing w:line="360" w:lineRule="auto"/>
        <w:ind w:left="0" w:firstLine="480" w:firstLineChars="200"/>
        <w:rPr>
          <w:color w:val="auto"/>
          <w:kern w:val="0"/>
          <w:sz w:val="24"/>
          <w:highlight w:val="none"/>
        </w:rPr>
      </w:pPr>
      <w:r>
        <w:rPr>
          <w:color w:val="auto"/>
          <w:kern w:val="0"/>
          <w:sz w:val="24"/>
          <w:highlight w:val="none"/>
        </w:rPr>
        <w:t>仪表及桥架布置图</w:t>
      </w:r>
    </w:p>
    <w:p w14:paraId="0B2C21BD">
      <w:pPr>
        <w:keepNext/>
        <w:keepLines/>
        <w:adjustRightInd w:val="0"/>
        <w:spacing w:line="300" w:lineRule="auto"/>
        <w:outlineLvl w:val="2"/>
        <w:rPr>
          <w:rFonts w:eastAsia="黑体"/>
          <w:color w:val="auto"/>
          <w:sz w:val="30"/>
          <w:highlight w:val="none"/>
        </w:rPr>
      </w:pPr>
      <w:bookmarkStart w:id="57" w:name="_Toc221784046"/>
      <w:r>
        <w:rPr>
          <w:rFonts w:eastAsia="黑体"/>
          <w:color w:val="auto"/>
          <w:sz w:val="30"/>
          <w:highlight w:val="none"/>
        </w:rPr>
        <w:t>3.4.11 检测与实验</w:t>
      </w:r>
      <w:bookmarkEnd w:id="57"/>
    </w:p>
    <w:p w14:paraId="60080473">
      <w:pPr>
        <w:widowControl/>
        <w:spacing w:line="360" w:lineRule="auto"/>
        <w:ind w:firstLine="480" w:firstLineChars="200"/>
        <w:rPr>
          <w:color w:val="auto"/>
          <w:kern w:val="0"/>
          <w:sz w:val="24"/>
          <w:highlight w:val="none"/>
        </w:rPr>
      </w:pPr>
      <w:r>
        <w:rPr>
          <w:color w:val="auto"/>
          <w:kern w:val="0"/>
          <w:sz w:val="24"/>
          <w:highlight w:val="none"/>
        </w:rPr>
        <w:t>1）焊缝检测</w:t>
      </w:r>
    </w:p>
    <w:p w14:paraId="3C14BE9E">
      <w:pPr>
        <w:widowControl/>
        <w:spacing w:line="360" w:lineRule="auto"/>
        <w:ind w:firstLine="480" w:firstLineChars="200"/>
        <w:rPr>
          <w:color w:val="auto"/>
          <w:kern w:val="0"/>
          <w:sz w:val="24"/>
          <w:highlight w:val="none"/>
        </w:rPr>
      </w:pPr>
      <w:r>
        <w:rPr>
          <w:color w:val="auto"/>
          <w:kern w:val="0"/>
          <w:sz w:val="24"/>
          <w:highlight w:val="none"/>
        </w:rPr>
        <w:t>无损检测按NB/T47013进行，锂铅介质系统检测比例100%，检测形式为射线。</w:t>
      </w:r>
    </w:p>
    <w:p w14:paraId="54EA982D">
      <w:pPr>
        <w:widowControl/>
        <w:spacing w:line="360" w:lineRule="auto"/>
        <w:ind w:firstLine="480" w:firstLineChars="200"/>
        <w:rPr>
          <w:color w:val="auto"/>
          <w:kern w:val="0"/>
          <w:sz w:val="24"/>
          <w:highlight w:val="none"/>
        </w:rPr>
      </w:pPr>
      <w:r>
        <w:rPr>
          <w:color w:val="auto"/>
          <w:kern w:val="0"/>
          <w:sz w:val="24"/>
          <w:highlight w:val="none"/>
        </w:rPr>
        <w:t>2）压力试验</w:t>
      </w:r>
    </w:p>
    <w:p w14:paraId="21B254D5">
      <w:pPr>
        <w:widowControl/>
        <w:spacing w:line="360" w:lineRule="auto"/>
        <w:ind w:firstLine="480" w:firstLineChars="200"/>
        <w:rPr>
          <w:color w:val="auto"/>
          <w:kern w:val="0"/>
          <w:sz w:val="24"/>
          <w:highlight w:val="none"/>
        </w:rPr>
      </w:pPr>
      <w:r>
        <w:rPr>
          <w:color w:val="auto"/>
          <w:kern w:val="0"/>
          <w:sz w:val="24"/>
          <w:highlight w:val="none"/>
        </w:rPr>
        <w:t>本项目管道强度试验采用气压试验， 回路系统压力实验应不低于GB50316及 GB/T20801中的要求，对不锈钢管道及阀门在进行氮气气体压力实验，试验压力为1.1倍设计压力。</w:t>
      </w:r>
    </w:p>
    <w:p w14:paraId="378397E1">
      <w:pPr>
        <w:widowControl/>
        <w:spacing w:line="360" w:lineRule="auto"/>
        <w:ind w:firstLine="480" w:firstLineChars="200"/>
        <w:rPr>
          <w:color w:val="auto"/>
          <w:kern w:val="0"/>
          <w:sz w:val="24"/>
          <w:highlight w:val="none"/>
        </w:rPr>
      </w:pPr>
      <w:r>
        <w:rPr>
          <w:color w:val="auto"/>
          <w:kern w:val="0"/>
          <w:sz w:val="24"/>
          <w:highlight w:val="none"/>
        </w:rPr>
        <w:t>3）清扫及吹洗</w:t>
      </w:r>
    </w:p>
    <w:p w14:paraId="3CD782C2">
      <w:pPr>
        <w:widowControl/>
        <w:spacing w:line="360" w:lineRule="auto"/>
        <w:ind w:firstLine="480" w:firstLineChars="200"/>
        <w:rPr>
          <w:color w:val="auto"/>
          <w:kern w:val="0"/>
          <w:sz w:val="24"/>
          <w:highlight w:val="none"/>
        </w:rPr>
      </w:pPr>
      <w:r>
        <w:rPr>
          <w:color w:val="auto"/>
          <w:kern w:val="0"/>
          <w:sz w:val="24"/>
          <w:highlight w:val="none"/>
        </w:rPr>
        <w:t>管道需严格清洗，必须采用适当的工艺方法彻底清理清除掉管子内外表面的铁屑、毛刺、焊渣、飞溅、氧化皮、疏松物、锈斑、油污、水分及其它一切污物。回路阀门、管道、管件及各设备进行组装焊接之前，应使用无水酒精冲洗，压缩空气吹干，清洗后表面应达到无油污、污物等存在，清洁度检查的标准用脱脂棉纱布擦拭无变色，焊口在焊接前应使用丙酮擦干净。</w:t>
      </w:r>
    </w:p>
    <w:bookmarkEnd w:id="50"/>
    <w:p w14:paraId="0CE0C84F">
      <w:pPr>
        <w:widowControl/>
        <w:adjustRightInd w:val="0"/>
        <w:snapToGrid w:val="0"/>
        <w:spacing w:before="320" w:line="360" w:lineRule="auto"/>
        <w:outlineLvl w:val="0"/>
        <w:rPr>
          <w:rFonts w:eastAsia="黑体"/>
          <w:color w:val="auto"/>
          <w:kern w:val="44"/>
          <w:sz w:val="32"/>
          <w:szCs w:val="44"/>
          <w:highlight w:val="none"/>
        </w:rPr>
      </w:pPr>
      <w:bookmarkStart w:id="58" w:name="_Toc121557720"/>
      <w:bookmarkStart w:id="59" w:name="_Toc221784047"/>
      <w:r>
        <w:rPr>
          <w:rFonts w:eastAsia="黑体"/>
          <w:color w:val="auto"/>
          <w:kern w:val="44"/>
          <w:sz w:val="32"/>
          <w:szCs w:val="44"/>
          <w:highlight w:val="none"/>
        </w:rPr>
        <w:t>4 质量控制要求</w:t>
      </w:r>
      <w:bookmarkEnd w:id="58"/>
      <w:bookmarkEnd w:id="59"/>
    </w:p>
    <w:p w14:paraId="4A2957F4">
      <w:pPr>
        <w:widowControl/>
        <w:adjustRightInd w:val="0"/>
        <w:snapToGrid w:val="0"/>
        <w:spacing w:before="100" w:line="360" w:lineRule="auto"/>
        <w:ind w:firstLine="480" w:firstLineChars="200"/>
        <w:rPr>
          <w:color w:val="auto"/>
          <w:sz w:val="24"/>
          <w:highlight w:val="none"/>
        </w:rPr>
      </w:pPr>
      <w:r>
        <w:rPr>
          <w:color w:val="auto"/>
          <w:sz w:val="24"/>
          <w:highlight w:val="none"/>
        </w:rPr>
        <w:t>所有设备和部件需符合相关的国家标准和行业规范，在采购、加工、制造、运输、安装等各个环节都要进行严格的质量把控。对于关键设备如</w:t>
      </w:r>
      <w:r>
        <w:rPr>
          <w:rFonts w:hint="eastAsia"/>
          <w:color w:val="auto"/>
          <w:sz w:val="24"/>
          <w:highlight w:val="none"/>
        </w:rPr>
        <w:t>驱动</w:t>
      </w:r>
      <w:r>
        <w:rPr>
          <w:color w:val="auto"/>
          <w:sz w:val="24"/>
          <w:highlight w:val="none"/>
        </w:rPr>
        <w:t xml:space="preserve">泵、真空泵、电加热器等，要提供详细的质量检测报告和合格证书。在设备到货后，需进行严格的到货验收，检查设备的规格、型号、数量、外观等是否与合同一致。在安装过程中，要按照设计要求和安装规范进行操作，确保安装质量。安装完成后，要进行全面的调试和测试，确保整个系统能够稳定、可靠地运行。同时，要建立完善的质量追溯体系，对于出现质量问题的设备和部件，能够及时追溯到源头，采取相应的整改措施。 </w:t>
      </w:r>
      <w:bookmarkStart w:id="60" w:name="_GoBack"/>
      <w:bookmarkEnd w:id="60"/>
    </w:p>
    <w:p w14:paraId="789646E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86361"/>
    <w:multiLevelType w:val="multilevel"/>
    <w:tmpl w:val="05D8636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19E0569"/>
    <w:multiLevelType w:val="multilevel"/>
    <w:tmpl w:val="119E0569"/>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
    <w:nsid w:val="141D61C8"/>
    <w:multiLevelType w:val="multilevel"/>
    <w:tmpl w:val="141D61C8"/>
    <w:lvl w:ilvl="0" w:tentative="0">
      <w:start w:val="1"/>
      <w:numFmt w:val="bullet"/>
      <w:lvlText w:val="•"/>
      <w:lvlJc w:val="left"/>
      <w:pPr>
        <w:ind w:left="920" w:hanging="440"/>
      </w:pPr>
      <w:rPr>
        <w:rFonts w:hint="default" w:ascii="Times New Roman" w:hAnsi="Times New Roman" w:cs="Times New Roman"/>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3">
    <w:nsid w:val="159476D7"/>
    <w:multiLevelType w:val="multilevel"/>
    <w:tmpl w:val="159476D7"/>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190F12BB"/>
    <w:multiLevelType w:val="multilevel"/>
    <w:tmpl w:val="190F12BB"/>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2C0C0B1C"/>
    <w:multiLevelType w:val="multilevel"/>
    <w:tmpl w:val="2C0C0B1C"/>
    <w:lvl w:ilvl="0" w:tentative="0">
      <w:start w:val="1"/>
      <w:numFmt w:val="decimal"/>
      <w:lvlText w:val="%1)"/>
      <w:lvlJc w:val="left"/>
      <w:pPr>
        <w:ind w:left="440" w:hanging="440"/>
      </w:pPr>
    </w:lvl>
    <w:lvl w:ilvl="1" w:tentative="0">
      <w:start w:val="3"/>
      <w:numFmt w:val="bullet"/>
      <w:lvlText w:val=""/>
      <w:lvlJc w:val="left"/>
      <w:pPr>
        <w:ind w:left="800" w:hanging="360"/>
      </w:pPr>
      <w:rPr>
        <w:rFonts w:hint="default" w:ascii="Symbol" w:hAnsi="Symbol" w:eastAsia="宋体" w:cs="Times New Roman"/>
      </w:rPr>
    </w:lvl>
    <w:lvl w:ilvl="2" w:tentative="0">
      <w:start w:val="1"/>
      <w:numFmt w:val="decimal"/>
      <w:lvlText w:val="%3）"/>
      <w:lvlJc w:val="left"/>
      <w:pPr>
        <w:ind w:left="1600" w:hanging="72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3D3A1C58"/>
    <w:multiLevelType w:val="multilevel"/>
    <w:tmpl w:val="3D3A1C5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
    <w:nsid w:val="420F7B90"/>
    <w:multiLevelType w:val="multilevel"/>
    <w:tmpl w:val="420F7B90"/>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46FA17DF"/>
    <w:multiLevelType w:val="multilevel"/>
    <w:tmpl w:val="46FA17DF"/>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47E155F6"/>
    <w:multiLevelType w:val="multilevel"/>
    <w:tmpl w:val="47E155F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A402EB8"/>
    <w:multiLevelType w:val="multilevel"/>
    <w:tmpl w:val="4A402EB8"/>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
    <w:nsid w:val="54172C9A"/>
    <w:multiLevelType w:val="multilevel"/>
    <w:tmpl w:val="54172C9A"/>
    <w:lvl w:ilvl="0" w:tentative="0">
      <w:start w:val="1"/>
      <w:numFmt w:val="bullet"/>
      <w:lvlText w:val="•"/>
      <w:lvlJc w:val="left"/>
      <w:pPr>
        <w:ind w:left="920" w:hanging="440"/>
      </w:pPr>
      <w:rPr>
        <w:rFonts w:hint="default" w:ascii="Times New Roman" w:hAnsi="Times New Roman" w:cs="Times New Roman"/>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2">
    <w:nsid w:val="5E867B83"/>
    <w:multiLevelType w:val="multilevel"/>
    <w:tmpl w:val="5E867B83"/>
    <w:lvl w:ilvl="0" w:tentative="0">
      <w:start w:val="1"/>
      <w:numFmt w:val="lowerLetter"/>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3">
    <w:nsid w:val="62290FD5"/>
    <w:multiLevelType w:val="multilevel"/>
    <w:tmpl w:val="62290FD5"/>
    <w:lvl w:ilvl="0" w:tentative="0">
      <w:start w:val="1"/>
      <w:numFmt w:val="bullet"/>
      <w:lvlText w:val="•"/>
      <w:lvlJc w:val="left"/>
      <w:pPr>
        <w:ind w:left="440" w:hanging="440"/>
      </w:pPr>
      <w:rPr>
        <w:rFonts w:hint="default" w:ascii="Times New Roman" w:hAnsi="Times New Roman"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6F9750B2"/>
    <w:multiLevelType w:val="multilevel"/>
    <w:tmpl w:val="6F9750B2"/>
    <w:lvl w:ilvl="0" w:tentative="0">
      <w:start w:val="1"/>
      <w:numFmt w:val="bullet"/>
      <w:lvlText w:val="•"/>
      <w:lvlJc w:val="left"/>
      <w:pPr>
        <w:ind w:left="480" w:hanging="440"/>
      </w:pPr>
      <w:rPr>
        <w:rFonts w:hint="default" w:ascii="Times New Roman" w:hAnsi="Times New Roman" w:cs="Times New Roman"/>
      </w:rPr>
    </w:lvl>
    <w:lvl w:ilvl="1" w:tentative="0">
      <w:start w:val="1"/>
      <w:numFmt w:val="bullet"/>
      <w:lvlText w:val=""/>
      <w:lvlJc w:val="left"/>
      <w:pPr>
        <w:ind w:left="920" w:hanging="440"/>
      </w:pPr>
      <w:rPr>
        <w:rFonts w:hint="default" w:ascii="Wingdings" w:hAnsi="Wingdings"/>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15">
    <w:nsid w:val="7EBC48D2"/>
    <w:multiLevelType w:val="multilevel"/>
    <w:tmpl w:val="7EBC48D2"/>
    <w:lvl w:ilvl="0" w:tentative="0">
      <w:start w:val="1"/>
      <w:numFmt w:val="upperLetter"/>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num w:numId="1">
    <w:abstractNumId w:val="9"/>
  </w:num>
  <w:num w:numId="2">
    <w:abstractNumId w:val="1"/>
  </w:num>
  <w:num w:numId="3">
    <w:abstractNumId w:val="0"/>
  </w:num>
  <w:num w:numId="4">
    <w:abstractNumId w:val="15"/>
  </w:num>
  <w:num w:numId="5">
    <w:abstractNumId w:val="4"/>
  </w:num>
  <w:num w:numId="6">
    <w:abstractNumId w:val="5"/>
  </w:num>
  <w:num w:numId="7">
    <w:abstractNumId w:val="7"/>
  </w:num>
  <w:num w:numId="8">
    <w:abstractNumId w:val="8"/>
  </w:num>
  <w:num w:numId="9">
    <w:abstractNumId w:val="13"/>
  </w:num>
  <w:num w:numId="10">
    <w:abstractNumId w:val="2"/>
  </w:num>
  <w:num w:numId="11">
    <w:abstractNumId w:val="12"/>
  </w:num>
  <w:num w:numId="12">
    <w:abstractNumId w:val="6"/>
  </w:num>
  <w:num w:numId="13">
    <w:abstractNumId w:val="3"/>
  </w:num>
  <w:num w:numId="14">
    <w:abstractNumId w:val="11"/>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3761FA"/>
    <w:rsid w:val="4F376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2026-02-13T04:26:00Z</dcterms:created>
  <dc:creator>宋方方</dc:creator>
  <cp:lastModifiedBy>宋方方</cp:lastModifiedBy>
  <dcterms:modified xsi:type="dcterms:W3CDTF">2026-02-13T04:27:08Z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8F18C252096849EB9793D166F023D113_11</vt:lpwstr>
  </property>
  <property fmtid="{D5CDD505-2E9C-101B-9397-08002B2CF9AE}" pid="4" name="KSOTemplateDocerSaveRecord">
    <vt:lpwstr>eyJoZGlkIjoiY2ZjZDI4YmRkZDY3MGZmNjNjY2JiZTFlYmI4OWM0ZWEiLCJ1c2VySWQiOiIxNzYzODEyODI4In0=</vt:lpwstr>
  </property>
</Properties>
</file>