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800A" w14:textId="77777777" w:rsidR="00681018" w:rsidRPr="00DE64BA" w:rsidRDefault="00681018" w:rsidP="00681018">
      <w:pPr>
        <w:pStyle w:val="1"/>
        <w:widowControl/>
        <w:snapToGrid w:val="0"/>
        <w:spacing w:before="0" w:after="0" w:line="360" w:lineRule="auto"/>
        <w:jc w:val="center"/>
        <w:rPr>
          <w:rFonts w:ascii="宋体" w:hAnsi="宋体" w:hint="eastAsia"/>
        </w:rPr>
      </w:pPr>
      <w:r w:rsidRPr="00DE64BA">
        <w:rPr>
          <w:rFonts w:ascii="宋体" w:hAnsi="宋体" w:hint="eastAsia"/>
        </w:rPr>
        <w:t>采购需求及技术规格要求</w:t>
      </w:r>
    </w:p>
    <w:p w14:paraId="58680827" w14:textId="77777777" w:rsidR="00681018" w:rsidRPr="00DE64BA" w:rsidRDefault="00681018" w:rsidP="00681018">
      <w:pPr>
        <w:pStyle w:val="2"/>
      </w:pPr>
      <w:r>
        <w:t>1</w:t>
      </w:r>
      <w:r w:rsidRPr="00DE64BA">
        <w:rPr>
          <w:rFonts w:hint="eastAsia"/>
        </w:rPr>
        <w:t>货物需求一览表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3770"/>
        <w:gridCol w:w="847"/>
        <w:gridCol w:w="1520"/>
        <w:gridCol w:w="1564"/>
      </w:tblGrid>
      <w:tr w:rsidR="00681018" w:rsidRPr="00DE64BA" w14:paraId="2ED2C97A" w14:textId="77777777" w:rsidTr="00146F9F">
        <w:trPr>
          <w:jc w:val="center"/>
        </w:trPr>
        <w:tc>
          <w:tcPr>
            <w:tcW w:w="804" w:type="dxa"/>
            <w:vAlign w:val="center"/>
          </w:tcPr>
          <w:p w14:paraId="2A0D9836" w14:textId="77777777" w:rsidR="00681018" w:rsidRPr="00146F9F" w:rsidRDefault="00681018" w:rsidP="00C61DFF">
            <w:pPr>
              <w:adjustRightInd w:val="0"/>
              <w:snapToGrid w:val="0"/>
              <w:jc w:val="center"/>
              <w:rPr>
                <w:rFonts w:ascii="宋体" w:hAnsi="宋体" w:cs="宋体" w:hint="eastAsia"/>
                <w:b/>
                <w:szCs w:val="21"/>
              </w:rPr>
            </w:pPr>
            <w:r w:rsidRPr="00146F9F">
              <w:rPr>
                <w:rFonts w:ascii="宋体" w:hAnsi="宋体" w:cs="宋体" w:hint="eastAsia"/>
                <w:b/>
                <w:szCs w:val="21"/>
              </w:rPr>
              <w:t>序号</w:t>
            </w:r>
          </w:p>
        </w:tc>
        <w:tc>
          <w:tcPr>
            <w:tcW w:w="3770" w:type="dxa"/>
            <w:vAlign w:val="center"/>
          </w:tcPr>
          <w:p w14:paraId="66951380" w14:textId="77777777" w:rsidR="00681018" w:rsidRPr="00146F9F" w:rsidRDefault="00681018" w:rsidP="00C61DFF">
            <w:pPr>
              <w:adjustRightInd w:val="0"/>
              <w:snapToGrid w:val="0"/>
              <w:jc w:val="center"/>
              <w:rPr>
                <w:rFonts w:ascii="宋体" w:hAnsi="宋体" w:cs="宋体" w:hint="eastAsia"/>
                <w:b/>
                <w:szCs w:val="21"/>
              </w:rPr>
            </w:pPr>
            <w:r w:rsidRPr="00146F9F">
              <w:rPr>
                <w:rFonts w:ascii="宋体" w:hAnsi="宋体" w:cs="宋体" w:hint="eastAsia"/>
                <w:b/>
                <w:szCs w:val="21"/>
              </w:rPr>
              <w:t>货物名称</w:t>
            </w:r>
          </w:p>
        </w:tc>
        <w:tc>
          <w:tcPr>
            <w:tcW w:w="847" w:type="dxa"/>
            <w:vAlign w:val="center"/>
          </w:tcPr>
          <w:p w14:paraId="001A0513" w14:textId="77777777" w:rsidR="00681018" w:rsidRPr="00146F9F" w:rsidRDefault="00681018" w:rsidP="00C61DFF">
            <w:pPr>
              <w:adjustRightInd w:val="0"/>
              <w:snapToGrid w:val="0"/>
              <w:jc w:val="center"/>
              <w:rPr>
                <w:rFonts w:ascii="宋体" w:hAnsi="宋体" w:cs="宋体" w:hint="eastAsia"/>
                <w:b/>
                <w:szCs w:val="21"/>
              </w:rPr>
            </w:pPr>
            <w:r w:rsidRPr="00146F9F">
              <w:rPr>
                <w:rFonts w:ascii="宋体" w:hAnsi="宋体" w:cs="宋体" w:hint="eastAsia"/>
                <w:b/>
                <w:szCs w:val="21"/>
              </w:rPr>
              <w:t>数量</w:t>
            </w:r>
          </w:p>
        </w:tc>
        <w:tc>
          <w:tcPr>
            <w:tcW w:w="1520" w:type="dxa"/>
            <w:vAlign w:val="center"/>
          </w:tcPr>
          <w:p w14:paraId="014148C7" w14:textId="77777777" w:rsidR="00681018" w:rsidRPr="00146F9F" w:rsidRDefault="00681018" w:rsidP="00C61DFF">
            <w:pPr>
              <w:adjustRightInd w:val="0"/>
              <w:snapToGrid w:val="0"/>
              <w:jc w:val="center"/>
              <w:rPr>
                <w:rFonts w:ascii="宋体" w:hAnsi="宋体" w:cs="宋体" w:hint="eastAsia"/>
                <w:b/>
                <w:szCs w:val="21"/>
              </w:rPr>
            </w:pPr>
            <w:r w:rsidRPr="00146F9F">
              <w:rPr>
                <w:rFonts w:ascii="宋体" w:hAnsi="宋体" w:cs="宋体" w:hint="eastAsia"/>
                <w:b/>
                <w:szCs w:val="21"/>
              </w:rPr>
              <w:t>预算（万元）</w:t>
            </w:r>
          </w:p>
        </w:tc>
        <w:tc>
          <w:tcPr>
            <w:tcW w:w="1564" w:type="dxa"/>
            <w:vAlign w:val="center"/>
          </w:tcPr>
          <w:p w14:paraId="4091A77A" w14:textId="77777777" w:rsidR="00681018" w:rsidRPr="00146F9F" w:rsidRDefault="00681018" w:rsidP="00C61DFF">
            <w:pPr>
              <w:adjustRightInd w:val="0"/>
              <w:snapToGrid w:val="0"/>
              <w:jc w:val="center"/>
              <w:rPr>
                <w:rFonts w:ascii="宋体" w:hAnsi="宋体" w:cs="宋体" w:hint="eastAsia"/>
                <w:b/>
                <w:szCs w:val="21"/>
              </w:rPr>
            </w:pPr>
            <w:r w:rsidRPr="00146F9F">
              <w:rPr>
                <w:rFonts w:ascii="宋体" w:hAnsi="宋体" w:cs="宋体" w:hint="eastAsia"/>
                <w:b/>
                <w:szCs w:val="21"/>
              </w:rPr>
              <w:t>交货期</w:t>
            </w:r>
          </w:p>
        </w:tc>
      </w:tr>
      <w:tr w:rsidR="00681018" w:rsidRPr="00DE64BA" w14:paraId="446BD980" w14:textId="77777777" w:rsidTr="00146F9F">
        <w:trPr>
          <w:trHeight w:val="331"/>
          <w:jc w:val="center"/>
        </w:trPr>
        <w:tc>
          <w:tcPr>
            <w:tcW w:w="804" w:type="dxa"/>
            <w:vAlign w:val="center"/>
          </w:tcPr>
          <w:p w14:paraId="6788176C" w14:textId="77777777" w:rsidR="00681018" w:rsidRPr="00DE64BA" w:rsidRDefault="00681018" w:rsidP="00C61DFF">
            <w:pPr>
              <w:adjustRightInd w:val="0"/>
              <w:snapToGrid w:val="0"/>
              <w:jc w:val="center"/>
              <w:rPr>
                <w:rFonts w:ascii="宋体" w:hAnsi="宋体" w:cs="宋体" w:hint="eastAsia"/>
                <w:bCs/>
                <w:szCs w:val="21"/>
              </w:rPr>
            </w:pPr>
            <w:r w:rsidRPr="00DE64BA">
              <w:rPr>
                <w:rFonts w:ascii="宋体" w:hAnsi="宋体" w:cs="宋体" w:hint="eastAsia"/>
                <w:bCs/>
                <w:szCs w:val="21"/>
              </w:rPr>
              <w:t>1</w:t>
            </w:r>
          </w:p>
        </w:tc>
        <w:tc>
          <w:tcPr>
            <w:tcW w:w="3770" w:type="dxa"/>
            <w:vAlign w:val="center"/>
          </w:tcPr>
          <w:p w14:paraId="6AF77CB9" w14:textId="77777777" w:rsidR="00681018" w:rsidRPr="00DE64BA" w:rsidRDefault="00681018" w:rsidP="00C61DFF">
            <w:pPr>
              <w:adjustRightInd w:val="0"/>
              <w:snapToGrid w:val="0"/>
              <w:jc w:val="center"/>
              <w:rPr>
                <w:rFonts w:ascii="宋体" w:hAnsi="宋体" w:cs="宋体" w:hint="eastAsia"/>
                <w:bCs/>
                <w:szCs w:val="21"/>
              </w:rPr>
            </w:pPr>
            <w:r w:rsidRPr="00DE64BA">
              <w:rPr>
                <w:rFonts w:ascii="宋体" w:hAnsi="宋体" w:cs="宋体" w:hint="eastAsia"/>
                <w:bCs/>
                <w:szCs w:val="21"/>
              </w:rPr>
              <w:t>TF线圈低温测试支撑结构</w:t>
            </w:r>
          </w:p>
        </w:tc>
        <w:tc>
          <w:tcPr>
            <w:tcW w:w="847" w:type="dxa"/>
            <w:vAlign w:val="center"/>
          </w:tcPr>
          <w:p w14:paraId="3378B407" w14:textId="77777777" w:rsidR="00681018" w:rsidRPr="00DE64BA" w:rsidRDefault="00681018" w:rsidP="00C61DFF">
            <w:pPr>
              <w:adjustRightInd w:val="0"/>
              <w:snapToGrid w:val="0"/>
              <w:jc w:val="center"/>
              <w:rPr>
                <w:rFonts w:ascii="宋体" w:hAnsi="宋体" w:cs="宋体" w:hint="eastAsia"/>
                <w:bCs/>
                <w:szCs w:val="21"/>
              </w:rPr>
            </w:pPr>
            <w:r w:rsidRPr="00DE64BA">
              <w:rPr>
                <w:rFonts w:ascii="宋体" w:hAnsi="宋体" w:cs="宋体" w:hint="eastAsia"/>
                <w:bCs/>
                <w:szCs w:val="21"/>
              </w:rPr>
              <w:t>1</w:t>
            </w:r>
          </w:p>
        </w:tc>
        <w:tc>
          <w:tcPr>
            <w:tcW w:w="1520" w:type="dxa"/>
            <w:vAlign w:val="center"/>
          </w:tcPr>
          <w:p w14:paraId="389F3CE5" w14:textId="6BDCA7DE" w:rsidR="00681018" w:rsidRPr="00DE64BA" w:rsidRDefault="00146F9F" w:rsidP="00C61DFF">
            <w:pPr>
              <w:adjustRightInd w:val="0"/>
              <w:snapToGrid w:val="0"/>
              <w:jc w:val="center"/>
              <w:rPr>
                <w:rFonts w:ascii="宋体" w:hAnsi="宋体" w:cs="宋体" w:hint="eastAsia"/>
                <w:bCs/>
                <w:szCs w:val="21"/>
              </w:rPr>
            </w:pPr>
            <w:r>
              <w:rPr>
                <w:rFonts w:ascii="宋体" w:hAnsi="宋体" w:cs="宋体" w:hint="eastAsia"/>
                <w:bCs/>
                <w:szCs w:val="21"/>
              </w:rPr>
              <w:t>400</w:t>
            </w:r>
          </w:p>
        </w:tc>
        <w:tc>
          <w:tcPr>
            <w:tcW w:w="1564" w:type="dxa"/>
            <w:vAlign w:val="center"/>
          </w:tcPr>
          <w:p w14:paraId="4FEFFA8D" w14:textId="77777777" w:rsidR="00681018" w:rsidRPr="00DE64BA" w:rsidRDefault="00681018" w:rsidP="00C61DFF">
            <w:pPr>
              <w:adjustRightInd w:val="0"/>
              <w:snapToGrid w:val="0"/>
              <w:jc w:val="center"/>
              <w:rPr>
                <w:rFonts w:ascii="宋体" w:hAnsi="宋体" w:cs="宋体" w:hint="eastAsia"/>
                <w:bCs/>
                <w:szCs w:val="21"/>
              </w:rPr>
            </w:pPr>
            <w:r w:rsidRPr="00DE64BA">
              <w:rPr>
                <w:rFonts w:ascii="宋体" w:hAnsi="宋体" w:cs="宋体" w:hint="eastAsia"/>
                <w:bCs/>
                <w:szCs w:val="21"/>
              </w:rPr>
              <w:t>6个月</w:t>
            </w:r>
          </w:p>
        </w:tc>
      </w:tr>
    </w:tbl>
    <w:p w14:paraId="7883DB03" w14:textId="77777777" w:rsidR="00681018" w:rsidRPr="00DE64BA" w:rsidRDefault="00681018" w:rsidP="00681018">
      <w:pPr>
        <w:pStyle w:val="2"/>
      </w:pPr>
      <w:r>
        <w:t>2</w:t>
      </w:r>
      <w:r w:rsidRPr="00DE64BA">
        <w:rPr>
          <w:rFonts w:hint="eastAsia"/>
        </w:rPr>
        <w:t>技术要求</w:t>
      </w:r>
    </w:p>
    <w:p w14:paraId="75760849" w14:textId="77777777" w:rsidR="00681018" w:rsidRPr="00DE64BA" w:rsidRDefault="00681018" w:rsidP="00681018">
      <w:pPr>
        <w:pStyle w:val="3"/>
        <w:rPr>
          <w:rFonts w:cs="宋体" w:hint="eastAsia"/>
          <w:b w:val="0"/>
          <w:szCs w:val="21"/>
          <w:lang w:eastAsia="zh-CN"/>
        </w:rPr>
      </w:pPr>
      <w:r>
        <w:rPr>
          <w:lang w:eastAsia="zh-CN"/>
        </w:rPr>
        <w:t>2</w:t>
      </w:r>
      <w:r w:rsidRPr="00DE64BA">
        <w:rPr>
          <w:rFonts w:hint="eastAsia"/>
          <w:lang w:eastAsia="zh-CN"/>
        </w:rPr>
        <w:t>.1参考规范</w:t>
      </w:r>
    </w:p>
    <w:p w14:paraId="4C28BEA5" w14:textId="77777777" w:rsidR="00681018" w:rsidRPr="00DE64BA" w:rsidRDefault="00681018" w:rsidP="00681018">
      <w:pPr>
        <w:adjustRightInd w:val="0"/>
        <w:snapToGrid w:val="0"/>
        <w:spacing w:beforeLines="50" w:before="156" w:line="360" w:lineRule="auto"/>
        <w:ind w:leftChars="200" w:left="420"/>
        <w:rPr>
          <w:rFonts w:ascii="宋体" w:hAnsi="宋体" w:cs="宋体" w:hint="eastAsia"/>
          <w:bCs/>
          <w:szCs w:val="21"/>
        </w:rPr>
      </w:pPr>
      <w:r w:rsidRPr="00DE64BA">
        <w:rPr>
          <w:rFonts w:ascii="宋体" w:hAnsi="宋体" w:cs="宋体" w:hint="eastAsia"/>
          <w:bCs/>
          <w:szCs w:val="21"/>
        </w:rPr>
        <w:t>1. 《GB50153-2018》工程结构可靠性设计统一标准</w:t>
      </w:r>
    </w:p>
    <w:p w14:paraId="5226AFF5" w14:textId="77777777" w:rsidR="00681018" w:rsidRPr="00DE64BA" w:rsidRDefault="00681018" w:rsidP="00681018">
      <w:pPr>
        <w:adjustRightInd w:val="0"/>
        <w:snapToGrid w:val="0"/>
        <w:spacing w:beforeLines="50" w:before="156" w:line="360" w:lineRule="auto"/>
        <w:ind w:leftChars="200" w:left="420"/>
        <w:rPr>
          <w:rFonts w:ascii="宋体" w:hAnsi="宋体" w:cs="宋体" w:hint="eastAsia"/>
          <w:bCs/>
          <w:szCs w:val="21"/>
        </w:rPr>
      </w:pPr>
      <w:r w:rsidRPr="00DE64BA">
        <w:rPr>
          <w:rFonts w:ascii="宋体" w:hAnsi="宋体" w:cs="宋体" w:hint="eastAsia"/>
          <w:bCs/>
          <w:szCs w:val="21"/>
        </w:rPr>
        <w:t>2. 《JB/T 7158-2010》工程机械零部件清洁度测定方法</w:t>
      </w:r>
    </w:p>
    <w:p w14:paraId="3139390D" w14:textId="77777777" w:rsidR="00681018" w:rsidRPr="00DE64BA" w:rsidRDefault="00681018" w:rsidP="00681018">
      <w:pPr>
        <w:adjustRightInd w:val="0"/>
        <w:snapToGrid w:val="0"/>
        <w:spacing w:beforeLines="50" w:before="156" w:line="360" w:lineRule="auto"/>
        <w:ind w:leftChars="200" w:left="420"/>
        <w:rPr>
          <w:rFonts w:ascii="宋体" w:hAnsi="宋体" w:cs="宋体" w:hint="eastAsia"/>
          <w:bCs/>
          <w:szCs w:val="21"/>
        </w:rPr>
      </w:pPr>
      <w:r w:rsidRPr="00DE64BA">
        <w:rPr>
          <w:rFonts w:ascii="宋体" w:hAnsi="宋体" w:cs="宋体" w:hint="eastAsia"/>
          <w:bCs/>
          <w:szCs w:val="21"/>
        </w:rPr>
        <w:t>3. 《NB/T 47014-2011》承压设备焊接工艺评定</w:t>
      </w:r>
    </w:p>
    <w:p w14:paraId="7B4E628A" w14:textId="77777777" w:rsidR="00681018" w:rsidRPr="00DE64BA" w:rsidRDefault="00681018" w:rsidP="00681018">
      <w:pPr>
        <w:adjustRightInd w:val="0"/>
        <w:snapToGrid w:val="0"/>
        <w:spacing w:beforeLines="50" w:before="156" w:line="360" w:lineRule="auto"/>
        <w:ind w:leftChars="200" w:left="420"/>
        <w:rPr>
          <w:rFonts w:ascii="宋体" w:hAnsi="宋体" w:cs="宋体" w:hint="eastAsia"/>
          <w:bCs/>
          <w:szCs w:val="21"/>
        </w:rPr>
      </w:pPr>
      <w:r w:rsidRPr="00DE64BA">
        <w:rPr>
          <w:rFonts w:ascii="宋体" w:hAnsi="宋体" w:cs="宋体" w:hint="eastAsia"/>
          <w:bCs/>
          <w:szCs w:val="21"/>
        </w:rPr>
        <w:t>4. 《GB/T 50661-2011》钢结构焊接规范</w:t>
      </w:r>
    </w:p>
    <w:p w14:paraId="09273887" w14:textId="77777777" w:rsidR="00681018" w:rsidRPr="00DE64BA" w:rsidRDefault="00681018" w:rsidP="00681018">
      <w:pPr>
        <w:adjustRightInd w:val="0"/>
        <w:snapToGrid w:val="0"/>
        <w:spacing w:beforeLines="50" w:before="156" w:line="360" w:lineRule="auto"/>
        <w:ind w:leftChars="200" w:left="420"/>
        <w:rPr>
          <w:rFonts w:ascii="宋体" w:hAnsi="宋体" w:cs="宋体" w:hint="eastAsia"/>
          <w:bCs/>
          <w:szCs w:val="21"/>
        </w:rPr>
      </w:pPr>
      <w:r w:rsidRPr="00DE64BA">
        <w:rPr>
          <w:rFonts w:ascii="宋体" w:hAnsi="宋体" w:cs="宋体" w:hint="eastAsia"/>
          <w:bCs/>
          <w:szCs w:val="21"/>
        </w:rPr>
        <w:t>5．《GB19804-2005》焊接结构的一般尺寸公差和形位公差</w:t>
      </w:r>
    </w:p>
    <w:p w14:paraId="40B05834" w14:textId="77777777" w:rsidR="00681018" w:rsidRPr="00DE64BA" w:rsidRDefault="00681018" w:rsidP="00681018">
      <w:pPr>
        <w:adjustRightInd w:val="0"/>
        <w:snapToGrid w:val="0"/>
        <w:spacing w:beforeLines="50" w:before="156" w:line="360" w:lineRule="auto"/>
        <w:ind w:leftChars="200" w:left="420"/>
        <w:rPr>
          <w:rFonts w:ascii="宋体" w:hAnsi="宋体" w:cs="宋体" w:hint="eastAsia"/>
          <w:bCs/>
          <w:szCs w:val="21"/>
        </w:rPr>
      </w:pPr>
      <w:r w:rsidRPr="00DE64BA">
        <w:rPr>
          <w:rFonts w:ascii="宋体" w:hAnsi="宋体" w:cs="宋体" w:hint="eastAsia"/>
          <w:bCs/>
          <w:szCs w:val="21"/>
        </w:rPr>
        <w:t>6. 《NB/T47013.2-2015》承压设备无损检测</w:t>
      </w:r>
    </w:p>
    <w:p w14:paraId="48348F78" w14:textId="77777777" w:rsidR="00681018" w:rsidRPr="00DE64BA" w:rsidRDefault="00681018" w:rsidP="00681018">
      <w:pPr>
        <w:adjustRightInd w:val="0"/>
        <w:snapToGrid w:val="0"/>
        <w:spacing w:beforeLines="50" w:before="156" w:line="360" w:lineRule="auto"/>
        <w:ind w:leftChars="200" w:left="420"/>
        <w:rPr>
          <w:rFonts w:ascii="宋体" w:hAnsi="宋体" w:cs="宋体" w:hint="eastAsia"/>
          <w:bCs/>
          <w:szCs w:val="21"/>
        </w:rPr>
      </w:pPr>
      <w:r w:rsidRPr="00DE64BA">
        <w:rPr>
          <w:rFonts w:ascii="宋体" w:hAnsi="宋体" w:cs="宋体" w:hint="eastAsia"/>
          <w:bCs/>
          <w:szCs w:val="21"/>
        </w:rPr>
        <w:t>7．《GB50011-2010》建筑抗震设计规范</w:t>
      </w:r>
    </w:p>
    <w:p w14:paraId="2370BA80" w14:textId="77777777" w:rsidR="00681018" w:rsidRPr="00DE64BA" w:rsidRDefault="00681018" w:rsidP="00681018">
      <w:pPr>
        <w:adjustRightInd w:val="0"/>
        <w:snapToGrid w:val="0"/>
        <w:spacing w:beforeLines="50" w:before="156" w:line="360" w:lineRule="auto"/>
        <w:ind w:leftChars="200" w:left="420"/>
        <w:rPr>
          <w:rFonts w:ascii="宋体" w:hAnsi="宋体" w:cs="宋体" w:hint="eastAsia"/>
          <w:bCs/>
          <w:szCs w:val="21"/>
        </w:rPr>
      </w:pPr>
      <w:r w:rsidRPr="00DE64BA">
        <w:rPr>
          <w:rFonts w:ascii="宋体" w:hAnsi="宋体" w:cs="宋体" w:hint="eastAsia"/>
          <w:bCs/>
          <w:szCs w:val="21"/>
        </w:rPr>
        <w:t>8. EN13001-3-1 Cranes - General Design - Part 3-1: Limit States and proof competence of steel structure</w:t>
      </w:r>
    </w:p>
    <w:p w14:paraId="36AF740D" w14:textId="77777777" w:rsidR="00681018" w:rsidRPr="00DE64BA" w:rsidRDefault="00681018" w:rsidP="00681018">
      <w:pPr>
        <w:adjustRightInd w:val="0"/>
        <w:snapToGrid w:val="0"/>
        <w:spacing w:beforeLines="50" w:before="156" w:line="360" w:lineRule="auto"/>
        <w:ind w:leftChars="200" w:left="420"/>
        <w:rPr>
          <w:rFonts w:ascii="宋体" w:hAnsi="宋体" w:cs="宋体" w:hint="eastAsia"/>
          <w:bCs/>
          <w:szCs w:val="21"/>
        </w:rPr>
      </w:pPr>
      <w:r w:rsidRPr="00DE64BA">
        <w:rPr>
          <w:rFonts w:ascii="宋体" w:hAnsi="宋体" w:cs="宋体" w:hint="eastAsia"/>
          <w:bCs/>
          <w:szCs w:val="21"/>
        </w:rPr>
        <w:t>9. EN1993-1-8 Design of steel structures-General-Design of joints</w:t>
      </w:r>
    </w:p>
    <w:p w14:paraId="0403EF5E" w14:textId="77777777" w:rsidR="00681018" w:rsidRPr="00DE64BA" w:rsidRDefault="00681018" w:rsidP="00681018">
      <w:pPr>
        <w:adjustRightInd w:val="0"/>
        <w:snapToGrid w:val="0"/>
        <w:spacing w:beforeLines="50" w:before="156" w:line="360" w:lineRule="auto"/>
        <w:ind w:leftChars="200" w:left="420"/>
        <w:rPr>
          <w:rFonts w:ascii="宋体" w:hAnsi="宋体" w:cs="宋体" w:hint="eastAsia"/>
          <w:bCs/>
          <w:szCs w:val="21"/>
        </w:rPr>
      </w:pPr>
      <w:r w:rsidRPr="00DE64BA">
        <w:rPr>
          <w:rFonts w:ascii="宋体" w:hAnsi="宋体" w:cs="宋体" w:hint="eastAsia"/>
          <w:bCs/>
          <w:szCs w:val="21"/>
        </w:rPr>
        <w:t>10. 《GB50267-2019》核电厂抗震设计标准</w:t>
      </w:r>
    </w:p>
    <w:p w14:paraId="2602980E" w14:textId="77777777" w:rsidR="00681018" w:rsidRPr="00DE64BA" w:rsidRDefault="00681018" w:rsidP="00681018">
      <w:pPr>
        <w:adjustRightInd w:val="0"/>
        <w:snapToGrid w:val="0"/>
        <w:spacing w:beforeLines="50" w:before="156" w:line="360" w:lineRule="auto"/>
        <w:ind w:leftChars="200" w:left="420"/>
        <w:rPr>
          <w:rFonts w:ascii="宋体" w:hAnsi="宋体" w:cs="宋体" w:hint="eastAsia"/>
          <w:bCs/>
          <w:szCs w:val="21"/>
        </w:rPr>
      </w:pPr>
      <w:r w:rsidRPr="00DE64BA">
        <w:rPr>
          <w:rFonts w:ascii="宋体" w:hAnsi="宋体" w:cs="宋体" w:hint="eastAsia"/>
          <w:bCs/>
          <w:szCs w:val="21"/>
        </w:rPr>
        <w:t>11. ASME BVPC—III 第1册NF分卷</w:t>
      </w:r>
    </w:p>
    <w:p w14:paraId="4C901FAF" w14:textId="77777777" w:rsidR="00681018" w:rsidRPr="00DE64BA" w:rsidRDefault="00681018" w:rsidP="00681018">
      <w:pPr>
        <w:pStyle w:val="3"/>
        <w:rPr>
          <w:rFonts w:hint="eastAsia"/>
          <w:lang w:eastAsia="zh-CN"/>
        </w:rPr>
      </w:pPr>
      <w:r>
        <w:rPr>
          <w:lang w:eastAsia="zh-CN"/>
        </w:rPr>
        <w:t>2</w:t>
      </w:r>
      <w:r w:rsidRPr="00DE64BA">
        <w:rPr>
          <w:rFonts w:hint="eastAsia"/>
          <w:lang w:eastAsia="zh-CN"/>
        </w:rPr>
        <w:t>.2总体要求</w:t>
      </w:r>
    </w:p>
    <w:p w14:paraId="501C6B2B" w14:textId="77777777" w:rsidR="00681018" w:rsidRPr="00DE64BA" w:rsidRDefault="00681018" w:rsidP="00681018">
      <w:pPr>
        <w:tabs>
          <w:tab w:val="left" w:pos="420"/>
        </w:tabs>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1)磁体支撑材料选用奥氏体无磁不锈钢，支撑结构总装完成后，本体材料及焊缝磁导率≤1.2；</w:t>
      </w:r>
    </w:p>
    <w:p w14:paraId="6D482E5B" w14:textId="77777777" w:rsidR="00681018" w:rsidRPr="00DE64BA" w:rsidRDefault="00681018" w:rsidP="00681018">
      <w:pPr>
        <w:tabs>
          <w:tab w:val="left" w:pos="420"/>
        </w:tabs>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2)4个TF磁体的支撑结构采用分体式制造，分为6个子模块设计。6个子模块共同支撑4个TF磁体，单个TF磁体设有5个支撑点，采用“固定点+活动点”的支撑方式进行磁体支撑，固定点为磁体翼翅中间位置，如图2所示；</w:t>
      </w:r>
    </w:p>
    <w:p w14:paraId="05273BD1" w14:textId="77777777" w:rsidR="00681018" w:rsidRPr="00DE64BA" w:rsidRDefault="00681018" w:rsidP="00681018">
      <w:pPr>
        <w:tabs>
          <w:tab w:val="left" w:pos="420"/>
        </w:tabs>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lastRenderedPageBreak/>
        <w:t>3)子模块与支撑立柱之间设有接触G10板，两个接触的G10板之间摩擦系数低于0.1，</w:t>
      </w:r>
      <w:proofErr w:type="gramStart"/>
      <w:r w:rsidRPr="00DE64BA">
        <w:rPr>
          <w:rFonts w:ascii="宋体" w:hAnsi="宋体" w:cs="宋体" w:hint="eastAsia"/>
          <w:bCs/>
          <w:szCs w:val="21"/>
        </w:rPr>
        <w:t>板接触</w:t>
      </w:r>
      <w:proofErr w:type="gramEnd"/>
      <w:r w:rsidRPr="00DE64BA">
        <w:rPr>
          <w:rFonts w:ascii="宋体" w:hAnsi="宋体" w:cs="宋体" w:hint="eastAsia"/>
          <w:bCs/>
          <w:szCs w:val="21"/>
        </w:rPr>
        <w:t>面具有良好的滑动性能；</w:t>
      </w:r>
    </w:p>
    <w:p w14:paraId="4D2E83FC" w14:textId="77777777" w:rsidR="00681018" w:rsidRPr="00DE64BA" w:rsidRDefault="00681018" w:rsidP="00681018">
      <w:pPr>
        <w:tabs>
          <w:tab w:val="left" w:pos="420"/>
        </w:tabs>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4)6个子模块承载结构上应设有低温管路，具备结构主动冷却功能管线布置及其进出口需与甲方确定；</w:t>
      </w:r>
    </w:p>
    <w:p w14:paraId="0C8A4A32" w14:textId="77777777" w:rsidR="00681018" w:rsidRPr="00DE64BA" w:rsidRDefault="00681018" w:rsidP="00681018">
      <w:pPr>
        <w:tabs>
          <w:tab w:val="left" w:pos="420"/>
        </w:tabs>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5)支撑结构承载TF磁体后，磁体的水平高度差≤15mm；</w:t>
      </w:r>
    </w:p>
    <w:p w14:paraId="304D0601" w14:textId="77777777" w:rsidR="00681018" w:rsidRPr="00DE64BA" w:rsidRDefault="00681018" w:rsidP="00681018">
      <w:pPr>
        <w:tabs>
          <w:tab w:val="left" w:pos="420"/>
        </w:tabs>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6)支撑结构承载磁体后需要留有磁体馈线连接的空间，并在支撑基础上安装馈线支撑架，满足馈线承载要求，具体的馈线位置待甲方确定后提供；</w:t>
      </w:r>
    </w:p>
    <w:p w14:paraId="15EC23CA" w14:textId="77777777" w:rsidR="00681018" w:rsidRPr="00DE64BA" w:rsidRDefault="00681018" w:rsidP="00681018">
      <w:pPr>
        <w:tabs>
          <w:tab w:val="left" w:pos="420"/>
        </w:tabs>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7)磁体放置于支撑结构上的位置准确度不得超过30mm，支撑与真空室内的冷屏不得有干涉；</w:t>
      </w:r>
    </w:p>
    <w:p w14:paraId="1F25C48B" w14:textId="77777777" w:rsidR="00681018" w:rsidRPr="00DE64BA" w:rsidRDefault="00681018" w:rsidP="00681018">
      <w:pPr>
        <w:tabs>
          <w:tab w:val="left" w:pos="420"/>
        </w:tabs>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8)每个小支撑与磁体的接触需要设有G10材料垫块，降低漏热、起到绝缘作用；</w:t>
      </w:r>
    </w:p>
    <w:p w14:paraId="06F1B8E7" w14:textId="77777777" w:rsidR="00681018" w:rsidRPr="00DE64BA" w:rsidRDefault="00681018" w:rsidP="00681018">
      <w:pPr>
        <w:tabs>
          <w:tab w:val="left" w:pos="420"/>
        </w:tabs>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9)支撑与磁体接触的部件需要具备柔性功能，在磁体向约束点收缩中能够自适应调整空间姿态和位置，不致产生结构热应力；</w:t>
      </w:r>
    </w:p>
    <w:p w14:paraId="024F366F" w14:textId="77777777" w:rsidR="00681018" w:rsidRPr="00DE64BA" w:rsidRDefault="00681018" w:rsidP="00681018">
      <w:pPr>
        <w:tabs>
          <w:tab w:val="left" w:pos="420"/>
        </w:tabs>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10)每个小支撑应充分考虑磁体吊装放置，方便磁体在转运和冷测试放置；</w:t>
      </w:r>
    </w:p>
    <w:p w14:paraId="33E802DD" w14:textId="77777777" w:rsidR="00681018" w:rsidRPr="00DE64BA" w:rsidRDefault="00681018" w:rsidP="00681018">
      <w:pPr>
        <w:tabs>
          <w:tab w:val="left" w:pos="420"/>
        </w:tabs>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11)支撑结构承载的最大结构应力不超过2/3材料允许值；</w:t>
      </w:r>
    </w:p>
    <w:p w14:paraId="66C29726" w14:textId="77777777" w:rsidR="00681018" w:rsidRPr="00DE64BA" w:rsidRDefault="00681018" w:rsidP="00681018">
      <w:pPr>
        <w:tabs>
          <w:tab w:val="left" w:pos="420"/>
        </w:tabs>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12)4个TF磁体采用两两高低放置，结构设计时需要留有足够的高度差，最高处和最低处不得与冷屏干涉；</w:t>
      </w:r>
    </w:p>
    <w:p w14:paraId="522D8CDB" w14:textId="77777777" w:rsidR="00681018" w:rsidRPr="00DE64BA" w:rsidRDefault="00681018" w:rsidP="00681018">
      <w:pPr>
        <w:tabs>
          <w:tab w:val="left" w:pos="420"/>
        </w:tabs>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13)支撑结构设计需要考虑承重点传递到支撑立柱的载荷及作用方向，不得产生较大的力矩，以防对支撑立柱下端的固定螺栓产生损坏。</w:t>
      </w:r>
    </w:p>
    <w:p w14:paraId="388197A8" w14:textId="77777777" w:rsidR="00681018" w:rsidRPr="00DE64BA" w:rsidRDefault="00681018" w:rsidP="00681018">
      <w:pPr>
        <w:pStyle w:val="3"/>
        <w:rPr>
          <w:rFonts w:hint="eastAsia"/>
          <w:lang w:eastAsia="zh-CN"/>
        </w:rPr>
      </w:pPr>
      <w:r>
        <w:rPr>
          <w:lang w:eastAsia="zh-CN"/>
        </w:rPr>
        <w:t>2</w:t>
      </w:r>
      <w:r w:rsidRPr="00DE64BA">
        <w:rPr>
          <w:rFonts w:hint="eastAsia"/>
          <w:lang w:eastAsia="zh-CN"/>
        </w:rPr>
        <w:t>.3结构要求</w:t>
      </w:r>
    </w:p>
    <w:p w14:paraId="5EA3E9A9"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TF磁体长宽高为11075.8mm*5585.4mm*720.6mm，重量约为90吨。4TF磁体支撑结构在常温和低温环境中需要有满足支撑单个90吨磁体重量的结构强度，在低温环境下4TF磁体产生非规则的收缩变形，支撑结构需要在低温环境下能够克服因磁体低温变形带来的附加载荷；</w:t>
      </w:r>
    </w:p>
    <w:p w14:paraId="5147EC3C"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2)支撑结构以现有的14个支撑立柱作为承载基础，磁体支撑与支撑立柱之间的连接和</w:t>
      </w:r>
      <w:proofErr w:type="gramStart"/>
      <w:r w:rsidRPr="00DE64BA">
        <w:rPr>
          <w:rFonts w:ascii="宋体" w:hAnsi="宋体" w:cs="宋体" w:hint="eastAsia"/>
          <w:bCs/>
          <w:szCs w:val="21"/>
        </w:rPr>
        <w:t>固定需</w:t>
      </w:r>
      <w:proofErr w:type="gramEnd"/>
      <w:r w:rsidRPr="00DE64BA">
        <w:rPr>
          <w:rFonts w:ascii="宋体" w:hAnsi="宋体" w:cs="宋体" w:hint="eastAsia"/>
          <w:bCs/>
          <w:szCs w:val="21"/>
        </w:rPr>
        <w:t>具备可滑动性，磁体支撑框架和立柱之间的冷缩变形不产生较大的结构热应力；</w:t>
      </w:r>
    </w:p>
    <w:p w14:paraId="4F3E8C98"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3)厂商应进行结构支撑设计的优化工作，并对其强度进行验证。相关的优化方案以及强度验证的结果，必须接受外部审核，同时，也应邀请甲方参与其中。</w:t>
      </w:r>
    </w:p>
    <w:p w14:paraId="2DA4720B"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4)支撑结构具备水平调节能力，并在支撑立柱产生位移时具有满足工程需要的承载能力。</w:t>
      </w:r>
    </w:p>
    <w:p w14:paraId="18B7ED22"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lastRenderedPageBreak/>
        <w:t>5)磁体支撑结构需进行有限元分析，主要分析载荷有：力学载荷、热载荷、电磁载荷以及地震载荷等，相关分析工况的输入条件由甲方提供。</w:t>
      </w:r>
    </w:p>
    <w:p w14:paraId="631102B9"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6)4个TF磁体采用两两高低放置，结构设计时需要留有足够的高度差，最高处和最低处不得与冷屏干涉。</w:t>
      </w:r>
    </w:p>
    <w:p w14:paraId="1EA25717"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7)磁体测试平台在正常运行时可能面对的极端环境，如区域性地震、</w:t>
      </w:r>
      <w:proofErr w:type="gramStart"/>
      <w:r w:rsidRPr="00DE64BA">
        <w:rPr>
          <w:rFonts w:ascii="宋体" w:hAnsi="宋体" w:cs="宋体" w:hint="eastAsia"/>
          <w:bCs/>
          <w:szCs w:val="21"/>
        </w:rPr>
        <w:t>磁体失超快速</w:t>
      </w:r>
      <w:proofErr w:type="gramEnd"/>
      <w:r w:rsidRPr="00DE64BA">
        <w:rPr>
          <w:rFonts w:ascii="宋体" w:hAnsi="宋体" w:cs="宋体" w:hint="eastAsia"/>
          <w:bCs/>
          <w:szCs w:val="21"/>
        </w:rPr>
        <w:t>放点及磁体通电对支撑结构产生的电磁力，支撑结构在上述的极端环境下需要具备满足工况的机械强度。</w:t>
      </w:r>
    </w:p>
    <w:p w14:paraId="54F3C5B3"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8)磁体支撑结构承载TF磁体约90吨，磁体支撑力学强度分析中须按照1.</w:t>
      </w:r>
      <w:proofErr w:type="gramStart"/>
      <w:r w:rsidRPr="00DE64BA">
        <w:rPr>
          <w:rFonts w:ascii="宋体" w:hAnsi="宋体" w:cs="宋体" w:hint="eastAsia"/>
          <w:bCs/>
          <w:szCs w:val="21"/>
        </w:rPr>
        <w:t>25倍裕度载荷</w:t>
      </w:r>
      <w:proofErr w:type="gramEnd"/>
      <w:r w:rsidRPr="00DE64BA">
        <w:rPr>
          <w:rFonts w:ascii="宋体" w:hAnsi="宋体" w:cs="宋体" w:hint="eastAsia"/>
          <w:bCs/>
          <w:szCs w:val="21"/>
        </w:rPr>
        <w:t>进行设计和分析，磁体支撑的有限元计算分析应力水平判定依据为：</w:t>
      </w:r>
    </w:p>
    <w:p w14:paraId="26F454A5"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一次总体薄膜应力Pm＜KSm，</w:t>
      </w:r>
    </w:p>
    <w:p w14:paraId="06601802"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一次局部薄膜应力PL＜1.5·KSm，</w:t>
      </w:r>
    </w:p>
    <w:p w14:paraId="2F85C4F1"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一次弯曲应力Pb，</w:t>
      </w:r>
      <w:proofErr w:type="spellStart"/>
      <w:r w:rsidRPr="00DE64BA">
        <w:rPr>
          <w:rFonts w:ascii="宋体" w:hAnsi="宋体" w:cs="宋体" w:hint="eastAsia"/>
          <w:bCs/>
          <w:szCs w:val="21"/>
        </w:rPr>
        <w:t>PL+Pb</w:t>
      </w:r>
      <w:proofErr w:type="spellEnd"/>
      <w:r w:rsidRPr="00DE64BA">
        <w:rPr>
          <w:rFonts w:ascii="宋体" w:hAnsi="宋体" w:cs="宋体" w:hint="eastAsia"/>
          <w:bCs/>
          <w:szCs w:val="21"/>
        </w:rPr>
        <w:t>＜1.5·KSm</w:t>
      </w:r>
    </w:p>
    <w:p w14:paraId="39E11E94"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 xml:space="preserve">二次应力Q, </w:t>
      </w:r>
      <w:proofErr w:type="spellStart"/>
      <w:r w:rsidRPr="00DE64BA">
        <w:rPr>
          <w:rFonts w:ascii="宋体" w:hAnsi="宋体" w:cs="宋体" w:hint="eastAsia"/>
          <w:bCs/>
          <w:szCs w:val="21"/>
        </w:rPr>
        <w:t>PL+Pb+Q</w:t>
      </w:r>
      <w:proofErr w:type="spellEnd"/>
      <w:r w:rsidRPr="00DE64BA">
        <w:rPr>
          <w:rFonts w:ascii="宋体" w:hAnsi="宋体" w:cs="宋体" w:hint="eastAsia"/>
          <w:bCs/>
          <w:szCs w:val="21"/>
        </w:rPr>
        <w:t>＜3·KSm</w:t>
      </w:r>
    </w:p>
    <w:p w14:paraId="0C5EE31E"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K取值为1.0，对于地震冲击分析取值1.2，参考《GB50011-2010》。</w:t>
      </w:r>
      <w:proofErr w:type="spellStart"/>
      <w:r w:rsidRPr="00DE64BA">
        <w:rPr>
          <w:rFonts w:ascii="宋体" w:hAnsi="宋体" w:cs="宋体" w:hint="eastAsia"/>
          <w:bCs/>
          <w:szCs w:val="21"/>
        </w:rPr>
        <w:t>Sm</w:t>
      </w:r>
      <w:proofErr w:type="spellEnd"/>
      <w:r w:rsidRPr="00DE64BA">
        <w:rPr>
          <w:rFonts w:ascii="宋体" w:hAnsi="宋体" w:cs="宋体" w:hint="eastAsia"/>
          <w:bCs/>
          <w:szCs w:val="21"/>
        </w:rPr>
        <w:t>为材料在温度条件下的许用应力值。</w:t>
      </w:r>
    </w:p>
    <w:p w14:paraId="2F3BB716" w14:textId="77777777" w:rsidR="00681018" w:rsidRPr="00DE64BA" w:rsidRDefault="00681018" w:rsidP="00681018">
      <w:pPr>
        <w:pStyle w:val="3"/>
        <w:rPr>
          <w:rFonts w:hint="eastAsia"/>
          <w:lang w:eastAsia="zh-CN"/>
        </w:rPr>
      </w:pPr>
      <w:r>
        <w:rPr>
          <w:lang w:eastAsia="zh-CN"/>
        </w:rPr>
        <w:t>2</w:t>
      </w:r>
      <w:r w:rsidRPr="00DE64BA">
        <w:rPr>
          <w:rFonts w:hint="eastAsia"/>
          <w:lang w:eastAsia="zh-CN"/>
        </w:rPr>
        <w:t>.4功能要求</w:t>
      </w:r>
    </w:p>
    <w:p w14:paraId="20EBA1E2"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1)磁体支撑需考虑磁体装配，建议进行杜瓦外装配，杜瓦内集成。完成可行的装配方案，磁体装配过程及工艺需得到甲方同意。</w:t>
      </w:r>
    </w:p>
    <w:p w14:paraId="0AAE1B3E"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2)模块化的框架结构可自由组合安装实现不同数量的TF磁体在磁体性能研究平台低温冷测试。</w:t>
      </w:r>
    </w:p>
    <w:p w14:paraId="5457DF95"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3)框架支撑结构在吊装进入磁体性能研究平台的立柱时应具有安装导向结构，便于框架与立柱的现场装配；</w:t>
      </w:r>
    </w:p>
    <w:p w14:paraId="4A292A99"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4)框架支撑结构承载TF磁体后局部变形≤1mm，具有良好的结构刚度和稳定性；</w:t>
      </w:r>
    </w:p>
    <w:p w14:paraId="285416C3"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5)框架支撑的磁体承载件与磁体的固定</w:t>
      </w:r>
      <w:proofErr w:type="gramStart"/>
      <w:r w:rsidRPr="00DE64BA">
        <w:rPr>
          <w:rFonts w:ascii="宋体" w:hAnsi="宋体" w:cs="宋体" w:hint="eastAsia"/>
          <w:bCs/>
          <w:szCs w:val="21"/>
        </w:rPr>
        <w:t>点具备</w:t>
      </w:r>
      <w:proofErr w:type="gramEnd"/>
      <w:r w:rsidRPr="00DE64BA">
        <w:rPr>
          <w:rFonts w:ascii="宋体" w:hAnsi="宋体" w:cs="宋体" w:hint="eastAsia"/>
          <w:bCs/>
          <w:szCs w:val="21"/>
        </w:rPr>
        <w:t>满足磁体结构要求的夹具，夹具点与框架上设有框架与磁体共同起吊运输的吊点或吊耳，并满足整体起吊的结构强度。</w:t>
      </w:r>
    </w:p>
    <w:p w14:paraId="3CF9EEE3" w14:textId="77777777" w:rsidR="00681018" w:rsidRPr="00DE64BA" w:rsidRDefault="00681018" w:rsidP="00681018">
      <w:pPr>
        <w:pStyle w:val="3"/>
        <w:rPr>
          <w:rFonts w:hint="eastAsia"/>
          <w:lang w:eastAsia="zh-CN"/>
        </w:rPr>
      </w:pPr>
      <w:r>
        <w:rPr>
          <w:lang w:eastAsia="zh-CN"/>
        </w:rPr>
        <w:t>2</w:t>
      </w:r>
      <w:r w:rsidRPr="00DE64BA">
        <w:rPr>
          <w:rFonts w:hint="eastAsia"/>
          <w:lang w:eastAsia="zh-CN"/>
        </w:rPr>
        <w:t>.5材料要求</w:t>
      </w:r>
    </w:p>
    <w:p w14:paraId="5B4E4F35"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1)磁体支撑选用奥氏体无磁不锈钢，材料及焊缝需要满足磁导率≤1.2，制造材料选择国内规模化厂家，须提供厂家材质证明、材料批号、生产日期等信息。</w:t>
      </w:r>
    </w:p>
    <w:p w14:paraId="66418ECD"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lastRenderedPageBreak/>
        <w:t>2)所用焊材由制造厂根据母材和焊接要求选用，应符合相应国家标准。</w:t>
      </w:r>
    </w:p>
    <w:p w14:paraId="7C10338C" w14:textId="77777777" w:rsidR="00681018" w:rsidRPr="00DE64BA" w:rsidRDefault="00681018" w:rsidP="00681018">
      <w:pPr>
        <w:pStyle w:val="3"/>
        <w:rPr>
          <w:rFonts w:hint="eastAsia"/>
          <w:lang w:eastAsia="zh-CN"/>
        </w:rPr>
      </w:pPr>
      <w:r>
        <w:rPr>
          <w:lang w:eastAsia="zh-CN"/>
        </w:rPr>
        <w:t>2</w:t>
      </w:r>
      <w:r w:rsidRPr="00DE64BA">
        <w:rPr>
          <w:rFonts w:hint="eastAsia"/>
          <w:lang w:eastAsia="zh-CN"/>
        </w:rPr>
        <w:t>.6制造要求</w:t>
      </w:r>
    </w:p>
    <w:p w14:paraId="14968357"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1）制造应按</w:t>
      </w:r>
      <w:proofErr w:type="gramStart"/>
      <w:r w:rsidRPr="00DE64BA">
        <w:rPr>
          <w:rFonts w:ascii="宋体" w:hAnsi="宋体" w:cs="宋体" w:hint="eastAsia"/>
          <w:bCs/>
          <w:szCs w:val="21"/>
        </w:rPr>
        <w:t>经规定</w:t>
      </w:r>
      <w:proofErr w:type="gramEnd"/>
      <w:r w:rsidRPr="00DE64BA">
        <w:rPr>
          <w:rFonts w:ascii="宋体" w:hAnsi="宋体" w:cs="宋体" w:hint="eastAsia"/>
          <w:bCs/>
          <w:szCs w:val="21"/>
        </w:rPr>
        <w:t>批准的图纸和文件要求进行；制造的相关技术文件应按照 《GB50153-2018》的相关要求；</w:t>
      </w:r>
    </w:p>
    <w:p w14:paraId="6D394F49"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2）制造方依据磁体支撑的结构设计和性能要求制定焊接工艺规程（WPS）并提交甲方审核批准。</w:t>
      </w:r>
    </w:p>
    <w:p w14:paraId="4AA38394"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3)磁体支撑须进行焊接工艺评定，按照《NB/T 47014》执行。</w:t>
      </w:r>
    </w:p>
    <w:p w14:paraId="7DFB9982"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4)磁体支撑所有焊缝不得有裂纹、气孔、夹渣</w:t>
      </w:r>
      <w:proofErr w:type="gramStart"/>
      <w:r w:rsidRPr="00DE64BA">
        <w:rPr>
          <w:rFonts w:ascii="宋体" w:hAnsi="宋体" w:cs="宋体" w:hint="eastAsia"/>
          <w:bCs/>
          <w:szCs w:val="21"/>
        </w:rPr>
        <w:t>和咬边等</w:t>
      </w:r>
      <w:proofErr w:type="gramEnd"/>
      <w:r w:rsidRPr="00DE64BA">
        <w:rPr>
          <w:rFonts w:ascii="宋体" w:hAnsi="宋体" w:cs="宋体" w:hint="eastAsia"/>
          <w:bCs/>
          <w:szCs w:val="21"/>
        </w:rPr>
        <w:t>缺陷；焊缝与母材平滑过渡，不得焊瘤、局部堆起等焊接质量不良缺陷。</w:t>
      </w:r>
    </w:p>
    <w:p w14:paraId="383CFAC7"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5)磁体支撑的结构部件在焊接过程中须采取工艺措施消除结构焊接应力，焊接完成后进行结构部件残余应力消除处理。</w:t>
      </w:r>
    </w:p>
    <w:p w14:paraId="166D6329"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6)螺栓孔的加工极限偏差与其他部分的制造公差分别按GB/T1804中m级 与c级精度 。</w:t>
      </w:r>
    </w:p>
    <w:p w14:paraId="7D81DE94"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7)支座所有组焊件周边粗糙度为Ra50um。支座组焊完毕，各部件应平整，不得翘曲。</w:t>
      </w:r>
    </w:p>
    <w:p w14:paraId="7A44C6ED"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8)磁体支撑焊缝无损检测可根据实际工况采用多种探伤方式进行，每一条焊缝均进行表面和体积探伤。</w:t>
      </w:r>
    </w:p>
    <w:p w14:paraId="3B907958"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9)焊接人员必须有持有劳动部门颁发的相应类别焊工资格证。磁体支撑无损检测人员须有持有相应方法的国家标准或等效的II级及以上的无损检测人员资格证书。</w:t>
      </w:r>
    </w:p>
    <w:p w14:paraId="308BF990"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10)制造加工前编写加工工艺，厂家组织工艺评审，邀请甲方参加，评审通过后，方可进行加工。</w:t>
      </w:r>
    </w:p>
    <w:p w14:paraId="04F1E5EE"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11)各不锈钢零部件经过检验合格后，组装前应进行清洗。所用清洁剂应不对材料造成损伤。清洁用介质应符合设计文件要求。</w:t>
      </w:r>
    </w:p>
    <w:p w14:paraId="4F0E7C0E"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12)供货方应编制规程，用于检查和防止试验模拟体在制造过程中被污染。规程至少应包含以下项目：清洁、工具、松动部件控制、材料搬运、清洁度要求、污染物清除的要求、污染物清除程序以及污染物检查和检测计划。</w:t>
      </w:r>
    </w:p>
    <w:p w14:paraId="79B9FF72"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13)不锈钢件的全部表面应干净，呈现均匀的金属光泽，不得有油污、灰尘、铁锈、水迹等污物，用干净的脱脂无毛头白布擦拭检查，擦过的白布上无明显变色、变润现象。</w:t>
      </w:r>
    </w:p>
    <w:p w14:paraId="6F89BADD" w14:textId="77777777" w:rsidR="00681018" w:rsidRPr="00DE64BA" w:rsidRDefault="00681018" w:rsidP="00681018">
      <w:pPr>
        <w:pStyle w:val="2"/>
      </w:pPr>
      <w:r>
        <w:lastRenderedPageBreak/>
        <w:t>3</w:t>
      </w:r>
      <w:r w:rsidRPr="00DE64BA">
        <w:rPr>
          <w:rFonts w:hint="eastAsia"/>
        </w:rPr>
        <w:t>质量保证</w:t>
      </w:r>
    </w:p>
    <w:p w14:paraId="11D29345"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1）制造方应在ISO9001质量保证体系下，按照经甲方批准的质量计划实施该项目；</w:t>
      </w:r>
    </w:p>
    <w:p w14:paraId="56686F98"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2）制造方应妥善保存和管理好项目实施过程中的各类文件和记录，对于生产、检测、测试的相关文件和记录要及时编/填写，归档，整理以备检查和追溯。记录应完整、可靠；</w:t>
      </w:r>
    </w:p>
    <w:p w14:paraId="7F8DF687"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3）制造方交由甲方的设计图纸必须为实际加工图纸，在实际加工中如有改动必须按图纸修改流程以书面形式告知甲方；</w:t>
      </w:r>
    </w:p>
    <w:p w14:paraId="043790DB"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4）制造方在设备加工过程中，对零部件结构、尺寸的修改，需按照图纸修改流程以书面的形式告知甲方。且结构尺寸的变更需经过甲方的批准方可进行修改；</w:t>
      </w:r>
    </w:p>
    <w:p w14:paraId="62BCE61E"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5）每一部件及零部件需进行编号，完成磁体支撑材料清单（BOM）；</w:t>
      </w:r>
    </w:p>
    <w:p w14:paraId="03D4EE76"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6）制造方在加工制造过程中，需定期向甲方汇报加工制造状态，甲方也将定期进行现场确认，直至完成整个系统的加工及安装。在系统加工、安装、调试完毕后，制造方需向甲方提供关键零件及系统整体的尺寸检测报告及相应质检报告；</w:t>
      </w:r>
    </w:p>
    <w:p w14:paraId="1ACCC504"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7）制造方在所有生产、检测过程中发现的不符合项目应及时以记录、报告的形式及时通知甲方，提出解决问题的方案与甲方进行协商解决；</w:t>
      </w:r>
    </w:p>
    <w:p w14:paraId="3CAEDB02"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8）制造方提供质量计划（QP），制造检测计划（MIP），提供制造阶段、总装阶段、测试阶段的各向检测记录、检测报告、质量文件；</w:t>
      </w:r>
    </w:p>
    <w:p w14:paraId="1B14AA2E"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9）制造方针对项目实施的方案设计、分析、制造、测试、总装、主机系统的联调联试须严格按照质量计划确认的流程和节点执行。</w:t>
      </w:r>
    </w:p>
    <w:p w14:paraId="02D16102" w14:textId="77777777" w:rsidR="00681018" w:rsidRPr="00DE64BA" w:rsidRDefault="00681018" w:rsidP="00681018">
      <w:pPr>
        <w:pStyle w:val="2"/>
      </w:pPr>
      <w:r>
        <w:t>4</w:t>
      </w:r>
      <w:r w:rsidRPr="00DE64BA">
        <w:rPr>
          <w:rFonts w:hint="eastAsia"/>
        </w:rPr>
        <w:t>检验</w:t>
      </w:r>
    </w:p>
    <w:p w14:paraId="35834957"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磁体支撑制造过程应进行检验记录，验收前应开展试验，试验完毕后应将内部清洗 干净并进行干燥处理。</w:t>
      </w:r>
    </w:p>
    <w:p w14:paraId="08A1709E" w14:textId="77777777" w:rsidR="00681018" w:rsidRPr="00DE64BA" w:rsidRDefault="00681018" w:rsidP="00681018">
      <w:pPr>
        <w:pStyle w:val="3"/>
        <w:rPr>
          <w:rFonts w:hint="eastAsia"/>
          <w:lang w:eastAsia="zh-CN"/>
        </w:rPr>
      </w:pPr>
      <w:r>
        <w:rPr>
          <w:lang w:eastAsia="zh-CN"/>
        </w:rPr>
        <w:t>4</w:t>
      </w:r>
      <w:r w:rsidRPr="00DE64BA">
        <w:rPr>
          <w:rFonts w:hint="eastAsia"/>
          <w:lang w:eastAsia="zh-CN"/>
        </w:rPr>
        <w:t>.1尺寸检验</w:t>
      </w:r>
    </w:p>
    <w:p w14:paraId="346A17FE"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供货方质检人员应对施工图册所标注参数、详细设计文件标注参数进行检验并详细记录，对超差数据进行标记，对所有尺寸公差、形位公差、粗糙度检验并对超差值进行记录；在设备出厂前，需要提供所有超差检验记录，待采购方对超差限额同意放行后才允许出厂，对于不允许超差尺寸的零件需要重新返工。</w:t>
      </w:r>
    </w:p>
    <w:p w14:paraId="652746C2"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对设备总图及装配件图样中所标注的所有尺寸进行检验并详细记录，对超差数据进行标</w:t>
      </w:r>
      <w:r w:rsidRPr="00DE64BA">
        <w:rPr>
          <w:rFonts w:ascii="宋体" w:hAnsi="宋体" w:cs="宋体" w:hint="eastAsia"/>
          <w:bCs/>
          <w:szCs w:val="21"/>
        </w:rPr>
        <w:lastRenderedPageBreak/>
        <w:t>记，对所有形位公差检验并对超差值进行记录；待采购方对超差数据评估同意让步接收后才能通过出厂验收，评估超差数据不能满足要求的需要制造厂采取各种补救措施以达到要求尺寸数据。</w:t>
      </w:r>
    </w:p>
    <w:p w14:paraId="2ED2785D"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对以上所有检验记录整理成册，编写尺寸检测报告。</w:t>
      </w:r>
    </w:p>
    <w:p w14:paraId="5B60533D" w14:textId="77777777" w:rsidR="00681018" w:rsidRPr="00DE64BA" w:rsidRDefault="00681018" w:rsidP="00681018">
      <w:pPr>
        <w:pStyle w:val="3"/>
        <w:rPr>
          <w:rFonts w:hint="eastAsia"/>
          <w:lang w:eastAsia="zh-CN"/>
        </w:rPr>
      </w:pPr>
      <w:r w:rsidRPr="00DE64BA">
        <w:rPr>
          <w:rFonts w:hint="eastAsia"/>
          <w:lang w:eastAsia="zh-CN"/>
        </w:rPr>
        <w:t xml:space="preserve"> </w:t>
      </w:r>
      <w:r>
        <w:rPr>
          <w:lang w:eastAsia="zh-CN"/>
        </w:rPr>
        <w:t>4</w:t>
      </w:r>
      <w:r w:rsidRPr="00DE64BA">
        <w:rPr>
          <w:rFonts w:hint="eastAsia"/>
          <w:lang w:eastAsia="zh-CN"/>
        </w:rPr>
        <w:t>.2焊缝质量检验</w:t>
      </w:r>
    </w:p>
    <w:p w14:paraId="196621A1"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角焊缝或无法射线探伤的部位可采用渗透探伤（Ⅰ级）。焊缝的质量检验包含外观质量检查、无损检测。</w:t>
      </w:r>
    </w:p>
    <w:p w14:paraId="7E24E87D" w14:textId="77777777" w:rsidR="00681018" w:rsidRPr="00DE64BA" w:rsidRDefault="00681018" w:rsidP="00681018">
      <w:pPr>
        <w:pStyle w:val="4"/>
        <w:rPr>
          <w:i w:val="0"/>
          <w:iCs w:val="0"/>
          <w:color w:val="auto"/>
          <w:lang w:eastAsia="zh-CN"/>
        </w:rPr>
      </w:pPr>
      <w:r>
        <w:rPr>
          <w:i w:val="0"/>
          <w:iCs w:val="0"/>
          <w:color w:val="auto"/>
          <w:lang w:eastAsia="zh-CN"/>
        </w:rPr>
        <w:t>4</w:t>
      </w:r>
      <w:r w:rsidRPr="00DE64BA">
        <w:rPr>
          <w:rFonts w:hint="eastAsia"/>
          <w:i w:val="0"/>
          <w:iCs w:val="0"/>
          <w:color w:val="auto"/>
          <w:lang w:eastAsia="zh-CN"/>
        </w:rPr>
        <w:t xml:space="preserve">.2.1 </w:t>
      </w:r>
      <w:r w:rsidRPr="00DE64BA">
        <w:rPr>
          <w:rFonts w:hint="eastAsia"/>
          <w:i w:val="0"/>
          <w:iCs w:val="0"/>
          <w:color w:val="auto"/>
          <w:lang w:eastAsia="zh-CN"/>
        </w:rPr>
        <w:t>外观质量检查</w:t>
      </w:r>
    </w:p>
    <w:p w14:paraId="68F7FCCB"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如果存在下列任何一种缺陷即为不合格：</w:t>
      </w:r>
    </w:p>
    <w:p w14:paraId="0CA9DB7B"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(1)焊缝表面存在裂纹、气孔、</w:t>
      </w:r>
      <w:proofErr w:type="gramStart"/>
      <w:r w:rsidRPr="00DE64BA">
        <w:rPr>
          <w:rFonts w:ascii="宋体" w:hAnsi="宋体" w:cs="宋体" w:hint="eastAsia"/>
          <w:bCs/>
          <w:szCs w:val="21"/>
        </w:rPr>
        <w:t>弧坑和</w:t>
      </w:r>
      <w:proofErr w:type="gramEnd"/>
      <w:r w:rsidRPr="00DE64BA">
        <w:rPr>
          <w:rFonts w:ascii="宋体" w:hAnsi="宋体" w:cs="宋体" w:hint="eastAsia"/>
          <w:bCs/>
          <w:szCs w:val="21"/>
        </w:rPr>
        <w:t>飞溅物等缺陷。</w:t>
      </w:r>
    </w:p>
    <w:p w14:paraId="6B55A817"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 xml:space="preserve">(2)焊缝表面存在咬边。 </w:t>
      </w:r>
    </w:p>
    <w:p w14:paraId="501E7337"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（3）结构</w:t>
      </w:r>
      <w:r w:rsidRPr="00DE64BA">
        <w:rPr>
          <w:rFonts w:ascii="宋体" w:hAnsi="宋体" w:cs="宋体"/>
          <w:bCs/>
          <w:szCs w:val="21"/>
        </w:rPr>
        <w:t>件表面无油、</w:t>
      </w:r>
      <w:r w:rsidRPr="00DE64BA">
        <w:rPr>
          <w:rFonts w:ascii="宋体" w:hAnsi="宋体" w:cs="宋体" w:hint="eastAsia"/>
          <w:bCs/>
          <w:szCs w:val="21"/>
        </w:rPr>
        <w:t>无尘</w:t>
      </w:r>
      <w:r w:rsidRPr="00DE64BA">
        <w:rPr>
          <w:rFonts w:ascii="宋体" w:hAnsi="宋体" w:cs="宋体"/>
          <w:bCs/>
          <w:szCs w:val="21"/>
        </w:rPr>
        <w:t>、无污渍。</w:t>
      </w:r>
    </w:p>
    <w:p w14:paraId="3B36DE5F"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w:t>
      </w:r>
      <w:r w:rsidRPr="00DE64BA">
        <w:rPr>
          <w:rFonts w:ascii="宋体" w:hAnsi="宋体" w:cs="宋体"/>
          <w:bCs/>
          <w:szCs w:val="21"/>
        </w:rPr>
        <w:t>4</w:t>
      </w:r>
      <w:r w:rsidRPr="00DE64BA">
        <w:rPr>
          <w:rFonts w:ascii="宋体" w:hAnsi="宋体" w:cs="宋体" w:hint="eastAsia"/>
          <w:bCs/>
          <w:szCs w:val="21"/>
        </w:rPr>
        <w:t>）焊缝</w:t>
      </w:r>
      <w:r w:rsidRPr="00DE64BA">
        <w:rPr>
          <w:rFonts w:ascii="宋体" w:hAnsi="宋体" w:cs="宋体"/>
          <w:bCs/>
          <w:szCs w:val="21"/>
        </w:rPr>
        <w:t>及结构表面清洗，</w:t>
      </w:r>
      <w:proofErr w:type="gramStart"/>
      <w:r w:rsidRPr="00DE64BA">
        <w:rPr>
          <w:rFonts w:ascii="宋体" w:hAnsi="宋体" w:cs="宋体"/>
          <w:bCs/>
          <w:szCs w:val="21"/>
        </w:rPr>
        <w:t>打磨见</w:t>
      </w:r>
      <w:proofErr w:type="gramEnd"/>
      <w:r w:rsidRPr="00DE64BA">
        <w:rPr>
          <w:rFonts w:ascii="宋体" w:hAnsi="宋体" w:cs="宋体"/>
          <w:bCs/>
          <w:szCs w:val="21"/>
        </w:rPr>
        <w:t>金属光泽。</w:t>
      </w:r>
    </w:p>
    <w:p w14:paraId="42FDB0BD" w14:textId="77777777" w:rsidR="00681018" w:rsidRPr="00DE64BA" w:rsidRDefault="00681018" w:rsidP="00681018">
      <w:pPr>
        <w:pStyle w:val="4"/>
        <w:rPr>
          <w:i w:val="0"/>
          <w:iCs w:val="0"/>
          <w:color w:val="auto"/>
          <w:lang w:eastAsia="zh-CN"/>
        </w:rPr>
      </w:pPr>
      <w:r>
        <w:rPr>
          <w:i w:val="0"/>
          <w:iCs w:val="0"/>
          <w:color w:val="auto"/>
          <w:lang w:eastAsia="zh-CN"/>
        </w:rPr>
        <w:t>4.</w:t>
      </w:r>
      <w:r w:rsidRPr="00DE64BA">
        <w:rPr>
          <w:rFonts w:hint="eastAsia"/>
          <w:i w:val="0"/>
          <w:iCs w:val="0"/>
          <w:color w:val="auto"/>
          <w:lang w:eastAsia="zh-CN"/>
        </w:rPr>
        <w:t xml:space="preserve">2.2 </w:t>
      </w:r>
      <w:r w:rsidRPr="00DE64BA">
        <w:rPr>
          <w:rFonts w:hint="eastAsia"/>
          <w:i w:val="0"/>
          <w:iCs w:val="0"/>
          <w:color w:val="auto"/>
          <w:lang w:eastAsia="zh-CN"/>
        </w:rPr>
        <w:t>无损检测</w:t>
      </w:r>
    </w:p>
    <w:p w14:paraId="19720E6A"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 xml:space="preserve">无损检测采用体积探伤，要求见6.2.3。体积探伤范围至少为熔敷金属焊缝两侧15mm </w:t>
      </w:r>
      <w:proofErr w:type="gramStart"/>
      <w:r w:rsidRPr="00DE64BA">
        <w:rPr>
          <w:rFonts w:ascii="宋体" w:hAnsi="宋体" w:cs="宋体" w:hint="eastAsia"/>
          <w:bCs/>
          <w:szCs w:val="21"/>
        </w:rPr>
        <w:t>宽范围</w:t>
      </w:r>
      <w:proofErr w:type="gramEnd"/>
      <w:r w:rsidRPr="00DE64BA">
        <w:rPr>
          <w:rFonts w:ascii="宋体" w:hAnsi="宋体" w:cs="宋体" w:hint="eastAsia"/>
          <w:bCs/>
          <w:szCs w:val="21"/>
        </w:rPr>
        <w:t>内的临近母材区，对无法进行射线检测的焊缝应进行面积探伤，要求见6.2.4。</w:t>
      </w:r>
    </w:p>
    <w:p w14:paraId="479FC47C" w14:textId="77777777" w:rsidR="00681018" w:rsidRPr="00DE64BA" w:rsidRDefault="00681018" w:rsidP="00681018">
      <w:pPr>
        <w:pStyle w:val="4"/>
        <w:rPr>
          <w:i w:val="0"/>
          <w:iCs w:val="0"/>
          <w:color w:val="auto"/>
          <w:lang w:eastAsia="zh-CN"/>
        </w:rPr>
      </w:pPr>
      <w:r>
        <w:rPr>
          <w:i w:val="0"/>
          <w:iCs w:val="0"/>
          <w:color w:val="auto"/>
          <w:lang w:eastAsia="zh-CN"/>
        </w:rPr>
        <w:t>4</w:t>
      </w:r>
      <w:r w:rsidRPr="00DE64BA">
        <w:rPr>
          <w:rFonts w:hint="eastAsia"/>
          <w:i w:val="0"/>
          <w:iCs w:val="0"/>
          <w:color w:val="auto"/>
          <w:lang w:eastAsia="zh-CN"/>
        </w:rPr>
        <w:t>.2.3</w:t>
      </w:r>
      <w:r w:rsidRPr="00DE64BA">
        <w:rPr>
          <w:rFonts w:hint="eastAsia"/>
          <w:i w:val="0"/>
          <w:iCs w:val="0"/>
          <w:color w:val="auto"/>
          <w:lang w:eastAsia="zh-CN"/>
        </w:rPr>
        <w:t>体积探伤</w:t>
      </w:r>
    </w:p>
    <w:p w14:paraId="5741A9EE"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 xml:space="preserve">对不锈钢承压对接焊缝应进100%射线或超声探伤检测，所用探伤方法、标准如下： </w:t>
      </w:r>
    </w:p>
    <w:p w14:paraId="0D20E3FC"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(1)按NB/T 47013.2或 NB/T 47013.3执行。</w:t>
      </w:r>
    </w:p>
    <w:p w14:paraId="41D6E9D4"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(2)射线检测技术等级为AB 级，检测合格级别为Ⅱ级。</w:t>
      </w:r>
    </w:p>
    <w:p w14:paraId="6CD53517"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(3)超声检测技术等级为B 级，检测合格级别为I 级 。</w:t>
      </w:r>
    </w:p>
    <w:p w14:paraId="4A62B3B5" w14:textId="77777777" w:rsidR="00681018" w:rsidRPr="00DE64BA" w:rsidRDefault="00681018" w:rsidP="00681018">
      <w:pPr>
        <w:pStyle w:val="4"/>
        <w:rPr>
          <w:i w:val="0"/>
          <w:iCs w:val="0"/>
          <w:color w:val="auto"/>
          <w:lang w:eastAsia="zh-CN"/>
        </w:rPr>
      </w:pPr>
      <w:r>
        <w:rPr>
          <w:i w:val="0"/>
          <w:iCs w:val="0"/>
          <w:color w:val="auto"/>
          <w:lang w:eastAsia="zh-CN"/>
        </w:rPr>
        <w:t>4</w:t>
      </w:r>
      <w:r w:rsidRPr="00DE64BA">
        <w:rPr>
          <w:rFonts w:hint="eastAsia"/>
          <w:i w:val="0"/>
          <w:iCs w:val="0"/>
          <w:color w:val="auto"/>
          <w:lang w:eastAsia="zh-CN"/>
        </w:rPr>
        <w:t xml:space="preserve">.2.4 </w:t>
      </w:r>
      <w:r w:rsidRPr="00DE64BA">
        <w:rPr>
          <w:rFonts w:hint="eastAsia"/>
          <w:i w:val="0"/>
          <w:iCs w:val="0"/>
          <w:color w:val="auto"/>
          <w:lang w:eastAsia="zh-CN"/>
        </w:rPr>
        <w:t>重复检查</w:t>
      </w:r>
    </w:p>
    <w:p w14:paraId="47950670"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经射线或超声波探伤的焊缝中，如有不允许的缺陷，应在缺陷清除干净后进行补焊，并对该部分采用原探伤方法重新检查，直至合格。不锈钢焊缝做渗透探伤，发现缺陷应按有关规定进行修磨或补焊，并对该部分采用原探伤方法重新检查，直至合格。</w:t>
      </w:r>
    </w:p>
    <w:p w14:paraId="3B24CECE" w14:textId="77777777" w:rsidR="00681018" w:rsidRPr="00DE64BA" w:rsidRDefault="00681018" w:rsidP="00681018">
      <w:pPr>
        <w:pStyle w:val="2"/>
      </w:pPr>
      <w:r>
        <w:lastRenderedPageBreak/>
        <w:t>5</w:t>
      </w:r>
      <w:r w:rsidRPr="00DE64BA">
        <w:rPr>
          <w:rFonts w:hint="eastAsia"/>
        </w:rPr>
        <w:t>验收程序</w:t>
      </w:r>
    </w:p>
    <w:p w14:paraId="0E1E7FB1"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1）验收程序按照测试验收流程和检验报告进行，验收流程文件和检验报告由制造方编制并经甲方许可；</w:t>
      </w:r>
    </w:p>
    <w:p w14:paraId="43156E63"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2）制造方应按照项目进度和节点提前准备验收测试的文件和计划；</w:t>
      </w:r>
    </w:p>
    <w:p w14:paraId="28389193"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3）出厂验收及现场验收所涉及的验收文件和检测计划制造方须提前15个工作日发送甲方并获得批准；</w:t>
      </w:r>
    </w:p>
    <w:p w14:paraId="1D35846E"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4）制造方须提供零件测试和部件测试所需的测试工装、仪器、专用工具及附属的配件。</w:t>
      </w:r>
    </w:p>
    <w:p w14:paraId="29262324" w14:textId="77777777" w:rsidR="00681018" w:rsidRPr="00DE64BA" w:rsidRDefault="00681018" w:rsidP="00681018">
      <w:pPr>
        <w:pStyle w:val="3"/>
        <w:rPr>
          <w:rFonts w:hint="eastAsia"/>
          <w:lang w:eastAsia="zh-CN"/>
        </w:rPr>
      </w:pPr>
      <w:r>
        <w:rPr>
          <w:lang w:eastAsia="zh-CN"/>
        </w:rPr>
        <w:t>5</w:t>
      </w:r>
      <w:r w:rsidRPr="00DE64BA">
        <w:rPr>
          <w:rFonts w:hint="eastAsia"/>
          <w:lang w:eastAsia="zh-CN"/>
        </w:rPr>
        <w:t>.1 出厂验收</w:t>
      </w:r>
    </w:p>
    <w:p w14:paraId="371ED1E1"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1）在4组TF磁体的支撑结构零部件在交付现场总装前，制造方须提供所有的零部件性能检测、质量检测的测试报告和检测合格证；</w:t>
      </w:r>
    </w:p>
    <w:p w14:paraId="34666840"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2）4组TF磁体的支撑结构的全道尺寸检测报告及焊缝探伤报告；</w:t>
      </w:r>
    </w:p>
    <w:p w14:paraId="57BA2BFA"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3）制造方检查支撑结构可滑动性摩擦系数，并提供摩擦系数检测报告；</w:t>
      </w:r>
    </w:p>
    <w:p w14:paraId="1C35EFA9"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4）制造方提供固定点夹具承载水平切向力的结构测试报告。</w:t>
      </w:r>
    </w:p>
    <w:p w14:paraId="5C37F811" w14:textId="77777777" w:rsidR="00681018" w:rsidRPr="00DE64BA" w:rsidRDefault="00681018" w:rsidP="00681018">
      <w:pPr>
        <w:pStyle w:val="3"/>
        <w:rPr>
          <w:rFonts w:hint="eastAsia"/>
          <w:lang w:eastAsia="zh-CN"/>
        </w:rPr>
      </w:pPr>
      <w:r>
        <w:rPr>
          <w:lang w:eastAsia="zh-CN"/>
        </w:rPr>
        <w:t>5</w:t>
      </w:r>
      <w:r w:rsidRPr="00DE64BA">
        <w:rPr>
          <w:rFonts w:hint="eastAsia"/>
          <w:lang w:eastAsia="zh-CN"/>
        </w:rPr>
        <w:t>.2 现场验收</w:t>
      </w:r>
    </w:p>
    <w:p w14:paraId="6A347D90"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1）制造方将4组TF磁体的支撑结构运输到甲方指定地点进行安装调试；</w:t>
      </w:r>
    </w:p>
    <w:p w14:paraId="7AC1F1E6"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2）制造方负责对设备进行数量清点、归类、试装配；</w:t>
      </w:r>
    </w:p>
    <w:p w14:paraId="7D69F6AB"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3）设备工作试验及附加功能参数测试；</w:t>
      </w:r>
    </w:p>
    <w:p w14:paraId="6528F089"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4）制造方提供技术资料清单及技术资料包，提供产品合格证。</w:t>
      </w:r>
    </w:p>
    <w:p w14:paraId="6EA09FB1" w14:textId="77777777" w:rsidR="00681018" w:rsidRPr="00DE64BA" w:rsidRDefault="00681018" w:rsidP="00681018">
      <w:pPr>
        <w:pStyle w:val="3"/>
        <w:rPr>
          <w:rFonts w:hint="eastAsia"/>
          <w:lang w:eastAsia="zh-CN"/>
        </w:rPr>
      </w:pPr>
      <w:r>
        <w:rPr>
          <w:lang w:eastAsia="zh-CN"/>
        </w:rPr>
        <w:t>5</w:t>
      </w:r>
      <w:r w:rsidRPr="00DE64BA">
        <w:rPr>
          <w:rFonts w:hint="eastAsia"/>
          <w:lang w:eastAsia="zh-CN"/>
        </w:rPr>
        <w:t>.3 终态验收</w:t>
      </w:r>
    </w:p>
    <w:p w14:paraId="231B4708"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1）首批2个TF磁体低温冷测试时现场安装后，检测支撑工程使用情况；满足设计要求。</w:t>
      </w:r>
    </w:p>
    <w:p w14:paraId="6880CFF3"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2）4组TF磁体同时低温测试完成现场安装及低温测试后出具整体验收检测报告；</w:t>
      </w:r>
    </w:p>
    <w:p w14:paraId="30B69982" w14:textId="77777777" w:rsidR="00681018" w:rsidRPr="00DE64BA" w:rsidRDefault="00681018" w:rsidP="00681018">
      <w:pPr>
        <w:adjustRightInd w:val="0"/>
        <w:snapToGrid w:val="0"/>
        <w:spacing w:beforeLines="50" w:before="156" w:line="360" w:lineRule="auto"/>
        <w:ind w:firstLineChars="200" w:firstLine="420"/>
        <w:rPr>
          <w:rFonts w:ascii="宋体" w:hAnsi="宋体" w:cs="宋体" w:hint="eastAsia"/>
          <w:bCs/>
          <w:szCs w:val="21"/>
        </w:rPr>
      </w:pPr>
      <w:r w:rsidRPr="00DE64BA">
        <w:rPr>
          <w:rFonts w:ascii="宋体" w:hAnsi="宋体" w:cs="宋体" w:hint="eastAsia"/>
          <w:bCs/>
          <w:szCs w:val="21"/>
        </w:rPr>
        <w:t>3）通过全流程测试验收，制造方与甲方共同签署终态验收报告。</w:t>
      </w:r>
    </w:p>
    <w:sectPr w:rsidR="00681018" w:rsidRPr="00DE6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18"/>
    <w:rsid w:val="00146F9F"/>
    <w:rsid w:val="00681018"/>
    <w:rsid w:val="00E62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CC41"/>
  <w15:chartTrackingRefBased/>
  <w15:docId w15:val="{533936B7-E595-49DC-BD0A-8F3D20A5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01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81018"/>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681018"/>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rsid w:val="00681018"/>
    <w:pPr>
      <w:keepNext/>
      <w:keepLines/>
      <w:widowControl/>
      <w:snapToGrid w:val="0"/>
      <w:spacing w:line="360" w:lineRule="auto"/>
      <w:jc w:val="left"/>
      <w:outlineLvl w:val="2"/>
    </w:pPr>
    <w:rPr>
      <w:rFonts w:ascii="宋体" w:hAnsi="宋体"/>
      <w:b/>
      <w:bCs/>
      <w:kern w:val="0"/>
      <w:sz w:val="28"/>
      <w:lang w:eastAsia="en-US" w:bidi="en-US"/>
    </w:rPr>
  </w:style>
  <w:style w:type="paragraph" w:styleId="4">
    <w:name w:val="heading 4"/>
    <w:basedOn w:val="a"/>
    <w:next w:val="a"/>
    <w:link w:val="40"/>
    <w:qFormat/>
    <w:rsid w:val="00681018"/>
    <w:pPr>
      <w:keepNext/>
      <w:keepLines/>
      <w:widowControl/>
      <w:spacing w:before="200" w:line="276" w:lineRule="auto"/>
      <w:jc w:val="left"/>
      <w:outlineLvl w:val="3"/>
    </w:pPr>
    <w:rPr>
      <w:rFonts w:ascii="Cambria" w:hAnsi="Cambria"/>
      <w:b/>
      <w:bCs/>
      <w:i/>
      <w:iCs/>
      <w:color w:val="4F81BD"/>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681018"/>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681018"/>
    <w:rPr>
      <w:rFonts w:ascii="Cambria" w:eastAsia="宋体" w:hAnsi="Cambria" w:cs="Times New Roman"/>
      <w:b/>
      <w:bCs/>
      <w:sz w:val="32"/>
      <w:szCs w:val="32"/>
    </w:rPr>
  </w:style>
  <w:style w:type="character" w:customStyle="1" w:styleId="30">
    <w:name w:val="标题 3 字符"/>
    <w:basedOn w:val="a0"/>
    <w:link w:val="3"/>
    <w:rsid w:val="00681018"/>
    <w:rPr>
      <w:rFonts w:ascii="宋体" w:eastAsia="宋体" w:hAnsi="宋体" w:cs="Times New Roman"/>
      <w:b/>
      <w:bCs/>
      <w:kern w:val="0"/>
      <w:sz w:val="28"/>
      <w:szCs w:val="24"/>
      <w:lang w:eastAsia="en-US" w:bidi="en-US"/>
    </w:rPr>
  </w:style>
  <w:style w:type="character" w:customStyle="1" w:styleId="40">
    <w:name w:val="标题 4 字符"/>
    <w:basedOn w:val="a0"/>
    <w:link w:val="4"/>
    <w:rsid w:val="00681018"/>
    <w:rPr>
      <w:rFonts w:ascii="Cambria" w:eastAsia="宋体" w:hAnsi="Cambria" w:cs="Times New Roman"/>
      <w:b/>
      <w:bCs/>
      <w:i/>
      <w:iCs/>
      <w:color w:val="4F81BD"/>
      <w:kern w:val="0"/>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2025-03-28T03:10:00Z</dcterms:created>
  <dcterms:modified xsi:type="dcterms:W3CDTF">2025-03-28T06:55:00Z</dcterms:modified>
</cp:coreProperties>
</file>