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A2ADE">
      <w:pPr>
        <w:pStyle w:val="2"/>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11F3526C">
      <w:pPr>
        <w:numPr>
          <w:ilvl w:val="0"/>
          <w:numId w:val="1"/>
        </w:numPr>
        <w:adjustRightInd w:val="0"/>
        <w:snapToGrid w:val="0"/>
        <w:spacing w:before="120" w:beforeLines="50" w:line="360" w:lineRule="auto"/>
        <w:rPr>
          <w:b/>
          <w:color w:val="auto"/>
          <w:sz w:val="24"/>
          <w:highlight w:val="none"/>
        </w:rPr>
      </w:pPr>
      <w:r>
        <w:rPr>
          <w:rFonts w:hint="eastAsia"/>
          <w:b/>
          <w:color w:val="auto"/>
          <w:sz w:val="24"/>
          <w:highlight w:val="none"/>
        </w:rPr>
        <w:t>项目安装服务范围</w:t>
      </w:r>
    </w:p>
    <w:p w14:paraId="08CF7177">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包括110kV配电装置、电力电缆、 控制电缆、设备支架、接地系统等具体详见图纸</w:t>
      </w:r>
    </w:p>
    <w:p w14:paraId="72782203">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2CE47FDE">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1、招标图纸清单内电力电缆YJLM03-64/110kV (1x1000）不在此次招标范围内.</w:t>
      </w:r>
    </w:p>
    <w:p w14:paraId="40CCC1A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2、招标图纸清单内电缆沟制作不在此次招标范围内。</w:t>
      </w:r>
      <w:bookmarkStart w:id="0" w:name="_Toc532807472"/>
      <w:bookmarkStart w:id="1" w:name="_Toc12010815"/>
      <w:bookmarkStart w:id="2" w:name="_Toc257021215"/>
      <w:bookmarkStart w:id="3" w:name="_Toc30409514"/>
      <w:bookmarkStart w:id="4" w:name="_Toc509153917"/>
      <w:bookmarkStart w:id="5" w:name="_Toc12010788"/>
    </w:p>
    <w:p w14:paraId="7F2D76CA">
      <w:pPr>
        <w:widowControl/>
        <w:spacing w:line="360" w:lineRule="auto"/>
        <w:ind w:firstLine="420" w:firstLineChars="200"/>
        <w:rPr>
          <w:rFonts w:hint="eastAsia"/>
          <w:bCs/>
          <w:color w:val="auto"/>
          <w:szCs w:val="21"/>
          <w:highlight w:val="none"/>
        </w:rPr>
      </w:pPr>
      <w:r>
        <w:rPr>
          <w:rFonts w:hint="eastAsia"/>
          <w:bCs/>
          <w:color w:val="auto"/>
          <w:szCs w:val="21"/>
          <w:highlight w:val="none"/>
        </w:rPr>
        <w:t>3、</w:t>
      </w:r>
      <w:r>
        <w:rPr>
          <w:bCs/>
          <w:color w:val="auto"/>
          <w:szCs w:val="21"/>
          <w:highlight w:val="none"/>
        </w:rPr>
        <w:t>本项目为交钥匙工程，投标人负责</w:t>
      </w:r>
      <w:r>
        <w:rPr>
          <w:rFonts w:hint="eastAsia"/>
          <w:bCs/>
          <w:color w:val="auto"/>
          <w:szCs w:val="21"/>
          <w:highlight w:val="none"/>
        </w:rPr>
        <w:t>图纸范围的所有工作（除本注1、注2中事项），包括但不限于图纸范围内的货物相关的</w:t>
      </w:r>
      <w:r>
        <w:rPr>
          <w:bCs/>
          <w:color w:val="auto"/>
          <w:szCs w:val="21"/>
          <w:highlight w:val="none"/>
        </w:rPr>
        <w:t>生产制造、运输、集成安装、测试与测量、验收等所有与本项目相关工作。本项目合同价包括了合同签订后至质保期满之前所需的全部工作内容，包括但不限于项目所需的人工费、设备材料费、机械费、措施费、管理费、利润、税金、规费、安全文明施工费、环境保护等所有投入以及工期延误和其他明示或不可预见的所有风险及费用在内。</w:t>
      </w:r>
    </w:p>
    <w:p w14:paraId="7F7FB74D">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6BA77979">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5BE8CE0B">
      <w:pPr>
        <w:pStyle w:val="6"/>
        <w:widowControl/>
        <w:adjustRightInd w:val="0"/>
        <w:snapToGrid w:val="0"/>
        <w:spacing w:before="120" w:beforeLines="50" w:after="120" w:afterLines="50" w:line="360" w:lineRule="auto"/>
        <w:ind w:left="420"/>
        <w:jc w:val="left"/>
        <w:rPr>
          <w:rFonts w:hint="eastAsia" w:ascii="宋体" w:hAnsi="宋体"/>
          <w:color w:val="auto"/>
          <w:szCs w:val="21"/>
          <w:highlight w:val="none"/>
        </w:rPr>
      </w:pPr>
      <w:r>
        <w:rPr>
          <w:rFonts w:hint="eastAsia"/>
          <w:color w:val="auto"/>
          <w:highlight w:val="none"/>
        </w:rPr>
        <w:t>电源供电系统由2台整流变压器、2台隔离开关GW4-126IID/1250A(CS17-G)、2组避雷器Y5WZ1-90/224、6台支柱绝缘子 ZSM-110/6</w:t>
      </w:r>
      <w:r>
        <w:rPr>
          <w:rFonts w:hint="eastAsia" w:ascii="宋体" w:hAnsi="宋体"/>
          <w:color w:val="auto"/>
          <w:szCs w:val="21"/>
          <w:highlight w:val="none"/>
        </w:rPr>
        <w:t>，及其配套的设备钢支架、电力电缆、钢芯铝绞线、控制电缆、接地系统构成。其目标是为2台整流变压器供电，系统电压110kV。</w:t>
      </w:r>
    </w:p>
    <w:p w14:paraId="0A2079DA">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 xml:space="preserve">2、 </w:t>
      </w:r>
      <w:r>
        <w:rPr>
          <w:b/>
          <w:color w:val="auto"/>
          <w:sz w:val="24"/>
          <w:highlight w:val="none"/>
        </w:rPr>
        <w:t>工作条件</w:t>
      </w:r>
    </w:p>
    <w:p w14:paraId="1E90A30B">
      <w:pPr>
        <w:widowControl/>
        <w:numPr>
          <w:ilvl w:val="0"/>
          <w:numId w:val="2"/>
        </w:numPr>
        <w:adjustRightInd w:val="0"/>
        <w:snapToGrid w:val="0"/>
        <w:spacing w:line="360" w:lineRule="auto"/>
        <w:rPr>
          <w:color w:val="auto"/>
          <w:highlight w:val="none"/>
          <w:lang w:bidi="en-US"/>
        </w:rPr>
      </w:pPr>
      <w:r>
        <w:rPr>
          <w:color w:val="auto"/>
          <w:highlight w:val="none"/>
          <w:lang w:bidi="en-US"/>
        </w:rPr>
        <w:t>海拔高度≤1000 m；</w:t>
      </w:r>
    </w:p>
    <w:p w14:paraId="2505142E">
      <w:pPr>
        <w:widowControl/>
        <w:numPr>
          <w:ilvl w:val="0"/>
          <w:numId w:val="2"/>
        </w:numPr>
        <w:adjustRightInd w:val="0"/>
        <w:snapToGrid w:val="0"/>
        <w:spacing w:line="360" w:lineRule="auto"/>
        <w:rPr>
          <w:color w:val="auto"/>
          <w:highlight w:val="none"/>
          <w:lang w:bidi="en-US"/>
        </w:rPr>
      </w:pPr>
      <w:r>
        <w:rPr>
          <w:color w:val="auto"/>
          <w:highlight w:val="none"/>
          <w:lang w:bidi="en-US"/>
        </w:rPr>
        <w:t>室外温度：-10 ℃~+40 ℃；</w:t>
      </w:r>
    </w:p>
    <w:p w14:paraId="5A6145FA">
      <w:pPr>
        <w:widowControl/>
        <w:numPr>
          <w:ilvl w:val="0"/>
          <w:numId w:val="2"/>
        </w:numPr>
        <w:adjustRightInd w:val="0"/>
        <w:snapToGrid w:val="0"/>
        <w:spacing w:line="360" w:lineRule="auto"/>
        <w:rPr>
          <w:color w:val="auto"/>
          <w:highlight w:val="none"/>
          <w:lang w:bidi="en-US"/>
        </w:rPr>
      </w:pPr>
      <w:r>
        <w:rPr>
          <w:color w:val="auto"/>
          <w:highlight w:val="none"/>
          <w:lang w:bidi="en-US"/>
        </w:rPr>
        <w:t>室内温度：+5 ℃~+40 ℃；</w:t>
      </w:r>
    </w:p>
    <w:p w14:paraId="7EE76ED5">
      <w:pPr>
        <w:widowControl/>
        <w:numPr>
          <w:ilvl w:val="0"/>
          <w:numId w:val="2"/>
        </w:numPr>
        <w:adjustRightInd w:val="0"/>
        <w:snapToGrid w:val="0"/>
        <w:spacing w:line="360" w:lineRule="auto"/>
        <w:rPr>
          <w:color w:val="auto"/>
          <w:highlight w:val="none"/>
          <w:lang w:bidi="en-US"/>
        </w:rPr>
      </w:pPr>
      <w:r>
        <w:rPr>
          <w:color w:val="auto"/>
          <w:highlight w:val="none"/>
          <w:lang w:bidi="en-US"/>
        </w:rPr>
        <w:t>室外24小时平均温度：-5 ℃~+35 ℃；</w:t>
      </w:r>
    </w:p>
    <w:p w14:paraId="3CECA30E">
      <w:pPr>
        <w:widowControl/>
        <w:numPr>
          <w:ilvl w:val="0"/>
          <w:numId w:val="2"/>
        </w:numPr>
        <w:adjustRightInd w:val="0"/>
        <w:snapToGrid w:val="0"/>
        <w:spacing w:line="360" w:lineRule="auto"/>
        <w:rPr>
          <w:color w:val="auto"/>
          <w:highlight w:val="none"/>
          <w:lang w:bidi="en-US"/>
        </w:rPr>
      </w:pPr>
      <w:r>
        <w:rPr>
          <w:color w:val="auto"/>
          <w:highlight w:val="none"/>
          <w:lang w:bidi="en-US"/>
        </w:rPr>
        <w:t>室内24小时平均温度：+5 ℃~+35 ℃；</w:t>
      </w:r>
    </w:p>
    <w:p w14:paraId="2B98ED32">
      <w:pPr>
        <w:widowControl/>
        <w:numPr>
          <w:ilvl w:val="0"/>
          <w:numId w:val="2"/>
        </w:numPr>
        <w:adjustRightInd w:val="0"/>
        <w:snapToGrid w:val="0"/>
        <w:spacing w:line="360" w:lineRule="auto"/>
        <w:rPr>
          <w:color w:val="auto"/>
          <w:highlight w:val="none"/>
          <w:lang w:bidi="en-US"/>
        </w:rPr>
      </w:pPr>
      <w:r>
        <w:rPr>
          <w:rFonts w:hint="eastAsia"/>
          <w:color w:val="auto"/>
          <w:highlight w:val="none"/>
          <w:lang w:bidi="en-US"/>
        </w:rPr>
        <w:t>风速</w:t>
      </w:r>
      <w:r>
        <w:rPr>
          <w:color w:val="auto"/>
          <w:highlight w:val="none"/>
          <w:lang w:bidi="en-US"/>
        </w:rPr>
        <w:t>≤140 km/hr</w:t>
      </w:r>
      <w:r>
        <w:rPr>
          <w:rFonts w:hint="eastAsia"/>
          <w:color w:val="auto"/>
          <w:highlight w:val="none"/>
          <w:lang w:bidi="en-US"/>
        </w:rPr>
        <w:t>；</w:t>
      </w:r>
    </w:p>
    <w:p w14:paraId="0EAD0464">
      <w:pPr>
        <w:widowControl/>
        <w:numPr>
          <w:ilvl w:val="0"/>
          <w:numId w:val="2"/>
        </w:numPr>
        <w:adjustRightInd w:val="0"/>
        <w:snapToGrid w:val="0"/>
        <w:spacing w:line="360" w:lineRule="auto"/>
        <w:rPr>
          <w:color w:val="auto"/>
          <w:highlight w:val="none"/>
          <w:lang w:bidi="en-US"/>
        </w:rPr>
      </w:pPr>
      <w:r>
        <w:rPr>
          <w:color w:val="auto"/>
          <w:highlight w:val="none"/>
          <w:lang w:bidi="en-US"/>
        </w:rPr>
        <w:t>24小时平均</w:t>
      </w:r>
      <w:r>
        <w:rPr>
          <w:rFonts w:hint="eastAsia"/>
          <w:color w:val="auto"/>
          <w:highlight w:val="none"/>
          <w:lang w:bidi="en-US"/>
        </w:rPr>
        <w:t>相对湿度</w:t>
      </w:r>
      <w:r>
        <w:rPr>
          <w:color w:val="auto"/>
          <w:highlight w:val="none"/>
          <w:lang w:bidi="en-US"/>
        </w:rPr>
        <w:t>≤95%</w:t>
      </w:r>
      <w:r>
        <w:rPr>
          <w:rFonts w:hint="eastAsia"/>
          <w:color w:val="auto"/>
          <w:highlight w:val="none"/>
          <w:lang w:bidi="en-US"/>
        </w:rPr>
        <w:t>；</w:t>
      </w:r>
    </w:p>
    <w:p w14:paraId="58D1CD9C">
      <w:pPr>
        <w:widowControl/>
        <w:numPr>
          <w:ilvl w:val="0"/>
          <w:numId w:val="2"/>
        </w:numPr>
        <w:adjustRightInd w:val="0"/>
        <w:snapToGrid w:val="0"/>
        <w:spacing w:line="360" w:lineRule="auto"/>
        <w:rPr>
          <w:color w:val="auto"/>
          <w:highlight w:val="none"/>
          <w:lang w:bidi="en-US"/>
        </w:rPr>
      </w:pPr>
      <w:r>
        <w:rPr>
          <w:rFonts w:hint="eastAsia"/>
          <w:color w:val="auto"/>
          <w:highlight w:val="none"/>
          <w:lang w:bidi="en-US"/>
        </w:rPr>
        <w:t>3</w:t>
      </w:r>
      <w:r>
        <w:rPr>
          <w:color w:val="auto"/>
          <w:highlight w:val="none"/>
          <w:lang w:bidi="en-US"/>
        </w:rPr>
        <w:t>0</w:t>
      </w:r>
      <w:r>
        <w:rPr>
          <w:rFonts w:hint="eastAsia"/>
          <w:color w:val="auto"/>
          <w:highlight w:val="none"/>
          <w:lang w:bidi="en-US"/>
        </w:rPr>
        <w:t>天</w:t>
      </w:r>
      <w:r>
        <w:rPr>
          <w:color w:val="auto"/>
          <w:highlight w:val="none"/>
          <w:lang w:bidi="en-US"/>
        </w:rPr>
        <w:t>平均</w:t>
      </w:r>
      <w:r>
        <w:rPr>
          <w:rFonts w:hint="eastAsia"/>
          <w:color w:val="auto"/>
          <w:highlight w:val="none"/>
          <w:lang w:bidi="en-US"/>
        </w:rPr>
        <w:t>相对湿度</w:t>
      </w:r>
      <w:r>
        <w:rPr>
          <w:color w:val="auto"/>
          <w:highlight w:val="none"/>
          <w:lang w:bidi="en-US"/>
        </w:rPr>
        <w:t>≤90%</w:t>
      </w:r>
      <w:r>
        <w:rPr>
          <w:rFonts w:hint="eastAsia"/>
          <w:color w:val="auto"/>
          <w:highlight w:val="none"/>
          <w:lang w:bidi="en-US"/>
        </w:rPr>
        <w:t>；</w:t>
      </w:r>
    </w:p>
    <w:p w14:paraId="6EDFBA20">
      <w:pPr>
        <w:widowControl/>
        <w:numPr>
          <w:ilvl w:val="0"/>
          <w:numId w:val="2"/>
        </w:numPr>
        <w:adjustRightInd w:val="0"/>
        <w:snapToGrid w:val="0"/>
        <w:spacing w:line="360" w:lineRule="auto"/>
        <w:rPr>
          <w:color w:val="auto"/>
          <w:highlight w:val="none"/>
          <w:lang w:bidi="en-US"/>
        </w:rPr>
      </w:pPr>
      <w:r>
        <w:rPr>
          <w:rFonts w:hint="eastAsia"/>
          <w:color w:val="auto"/>
          <w:highlight w:val="none"/>
          <w:lang w:bidi="en-US"/>
        </w:rPr>
        <w:t>地震烈度：7；</w:t>
      </w:r>
    </w:p>
    <w:p w14:paraId="6A056BA5">
      <w:pPr>
        <w:widowControl/>
        <w:numPr>
          <w:ilvl w:val="0"/>
          <w:numId w:val="2"/>
        </w:numPr>
        <w:adjustRightInd w:val="0"/>
        <w:snapToGrid w:val="0"/>
        <w:spacing w:line="360" w:lineRule="auto"/>
        <w:rPr>
          <w:b/>
          <w:color w:val="auto"/>
          <w:sz w:val="24"/>
          <w:highlight w:val="none"/>
        </w:rPr>
      </w:pPr>
      <w:r>
        <w:rPr>
          <w:rFonts w:hint="eastAsia"/>
          <w:color w:val="auto"/>
          <w:highlight w:val="none"/>
          <w:lang w:bidi="en-US"/>
        </w:rPr>
        <w:t>根据IEC60071-2，污染等级为</w:t>
      </w:r>
      <w:r>
        <w:rPr>
          <w:color w:val="auto"/>
          <w:highlight w:val="none"/>
          <w:lang w:bidi="en-US"/>
        </w:rPr>
        <w:t>I</w:t>
      </w:r>
      <w:r>
        <w:rPr>
          <w:rFonts w:hint="eastAsia"/>
          <w:color w:val="auto"/>
          <w:highlight w:val="none"/>
          <w:lang w:bidi="en-US"/>
        </w:rPr>
        <w:t>。</w:t>
      </w:r>
    </w:p>
    <w:p w14:paraId="5EE9B72D">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3、</w:t>
      </w:r>
      <w:r>
        <w:rPr>
          <w:b/>
          <w:color w:val="auto"/>
          <w:sz w:val="24"/>
          <w:highlight w:val="none"/>
        </w:rPr>
        <w:t xml:space="preserve"> 技术服务要求及质保要求</w:t>
      </w:r>
    </w:p>
    <w:p w14:paraId="1FC030B2">
      <w:pPr>
        <w:adjustRightInd w:val="0"/>
        <w:snapToGrid w:val="0"/>
        <w:spacing w:before="120" w:beforeLines="50" w:line="360" w:lineRule="auto"/>
        <w:ind w:firstLine="420" w:firstLineChars="200"/>
        <w:rPr>
          <w:b/>
          <w:color w:val="auto"/>
          <w:sz w:val="24"/>
          <w:highlight w:val="none"/>
        </w:rPr>
      </w:pPr>
      <w:r>
        <w:rPr>
          <w:rFonts w:hint="eastAsia"/>
          <w:color w:val="auto"/>
          <w:highlight w:val="none"/>
          <w:lang w:bidi="en-US"/>
        </w:rPr>
        <w:t>投标人须提供完整的售后服务，质保期至少</w:t>
      </w:r>
      <w:r>
        <w:rPr>
          <w:rFonts w:hint="eastAsia"/>
          <w:color w:val="auto"/>
          <w:highlight w:val="none"/>
          <w:lang w:val="en-US" w:eastAsia="zh-CN" w:bidi="en-US"/>
        </w:rPr>
        <w:t>2</w:t>
      </w:r>
      <w:r>
        <w:rPr>
          <w:rFonts w:hint="eastAsia"/>
          <w:color w:val="auto"/>
          <w:highlight w:val="none"/>
          <w:lang w:bidi="en-US"/>
        </w:rPr>
        <w:t>年，质保期内出现质量问题，厂家需48小时内派出相关维修人员来解决，并提供免费的维修维护服务。质保期过期后需继续提供维修和维护服务，且需48小时内及时响应和处理。</w:t>
      </w:r>
    </w:p>
    <w:p w14:paraId="37617C76">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验收标准及验收</w:t>
      </w:r>
      <w:r>
        <w:rPr>
          <w:rFonts w:hint="eastAsia"/>
          <w:b/>
          <w:color w:val="auto"/>
          <w:sz w:val="24"/>
          <w:highlight w:val="none"/>
        </w:rPr>
        <w:t>文件交付</w:t>
      </w:r>
    </w:p>
    <w:p w14:paraId="6F1BEA18">
      <w:pPr>
        <w:widowControl/>
        <w:adjustRightInd w:val="0"/>
        <w:snapToGrid w:val="0"/>
        <w:spacing w:line="360" w:lineRule="auto"/>
        <w:ind w:firstLine="420" w:firstLineChars="200"/>
        <w:rPr>
          <w:color w:val="auto"/>
          <w:highlight w:val="none"/>
          <w:lang w:bidi="en-US"/>
        </w:rPr>
      </w:pPr>
      <w:r>
        <w:rPr>
          <w:rFonts w:hint="eastAsia"/>
          <w:color w:val="auto"/>
          <w:highlight w:val="none"/>
          <w:lang w:bidi="en-US"/>
        </w:rPr>
        <w:t>设备基础位置按照图纸及设备参数合理布置、一次设备按图纸要求就位；高压电缆及钢绞线按原理图及安装图正确连接，连接质量符合相关标准；二次设备按图纸要求就位；二次线缆按原理图要求正确连接。</w:t>
      </w:r>
    </w:p>
    <w:p w14:paraId="31E4BDBE">
      <w:pPr>
        <w:widowControl/>
        <w:adjustRightInd w:val="0"/>
        <w:snapToGrid w:val="0"/>
        <w:spacing w:line="360" w:lineRule="auto"/>
        <w:ind w:firstLine="420" w:firstLineChars="200"/>
        <w:rPr>
          <w:color w:val="auto"/>
          <w:highlight w:val="none"/>
          <w:lang w:bidi="en-US"/>
        </w:rPr>
      </w:pPr>
      <w:r>
        <w:rPr>
          <w:rFonts w:hint="eastAsia"/>
          <w:color w:val="auto"/>
          <w:highlight w:val="none"/>
          <w:lang w:bidi="en-US"/>
        </w:rPr>
        <w:t>设备完成交接试验；设备完成高低压上电。</w:t>
      </w:r>
    </w:p>
    <w:p w14:paraId="40AF01F3">
      <w:pPr>
        <w:adjustRightInd w:val="0"/>
        <w:snapToGrid w:val="0"/>
        <w:spacing w:before="120" w:beforeLines="50" w:line="360" w:lineRule="auto"/>
        <w:rPr>
          <w:color w:val="auto"/>
          <w:highlight w:val="none"/>
        </w:rPr>
      </w:pPr>
      <w:r>
        <w:rPr>
          <w:b/>
          <w:color w:val="auto"/>
          <w:sz w:val="24"/>
          <w:highlight w:val="none"/>
        </w:rPr>
        <w:tab/>
      </w:r>
      <w:r>
        <w:rPr>
          <w:rFonts w:hint="eastAsia"/>
          <w:color w:val="auto"/>
          <w:highlight w:val="none"/>
        </w:rPr>
        <w:t>表4</w:t>
      </w:r>
      <w:r>
        <w:rPr>
          <w:color w:val="auto"/>
          <w:highlight w:val="none"/>
        </w:rPr>
        <w:t xml:space="preserve"> </w:t>
      </w:r>
      <w:r>
        <w:rPr>
          <w:rFonts w:hint="eastAsia"/>
          <w:color w:val="auto"/>
          <w:highlight w:val="none"/>
        </w:rPr>
        <w:t>文件交付清单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4536"/>
        <w:gridCol w:w="2905"/>
      </w:tblGrid>
      <w:tr w14:paraId="5E4F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32C6AB1E">
            <w:pPr>
              <w:autoSpaceDE w:val="0"/>
              <w:autoSpaceDN w:val="0"/>
              <w:adjustRightInd w:val="0"/>
              <w:jc w:val="center"/>
              <w:rPr>
                <w:rFonts w:hint="eastAsia" w:ascii="宋体" w:hAnsi="宋体" w:cs="微软雅黑"/>
                <w:b/>
                <w:color w:val="auto"/>
                <w:kern w:val="0"/>
                <w:szCs w:val="21"/>
                <w:highlight w:val="none"/>
              </w:rPr>
            </w:pPr>
            <w:r>
              <w:rPr>
                <w:rFonts w:hint="eastAsia" w:ascii="宋体" w:hAnsi="宋体" w:cs="微软雅黑"/>
                <w:b/>
                <w:color w:val="auto"/>
                <w:kern w:val="0"/>
                <w:szCs w:val="21"/>
                <w:highlight w:val="none"/>
              </w:rPr>
              <w:t>编号</w:t>
            </w:r>
          </w:p>
        </w:tc>
        <w:tc>
          <w:tcPr>
            <w:tcW w:w="4536" w:type="dxa"/>
            <w:noWrap w:val="0"/>
            <w:vAlign w:val="center"/>
          </w:tcPr>
          <w:p w14:paraId="4AC1F07E">
            <w:pPr>
              <w:autoSpaceDE w:val="0"/>
              <w:autoSpaceDN w:val="0"/>
              <w:adjustRightInd w:val="0"/>
              <w:jc w:val="center"/>
              <w:rPr>
                <w:rFonts w:hint="eastAsia" w:ascii="宋体" w:hAnsi="宋体" w:cs="微软雅黑"/>
                <w:b/>
                <w:color w:val="auto"/>
                <w:kern w:val="0"/>
                <w:szCs w:val="21"/>
                <w:highlight w:val="none"/>
              </w:rPr>
            </w:pPr>
            <w:r>
              <w:rPr>
                <w:rFonts w:hint="eastAsia" w:ascii="宋体" w:hAnsi="宋体" w:cs="微软雅黑"/>
                <w:b/>
                <w:color w:val="auto"/>
                <w:kern w:val="0"/>
                <w:szCs w:val="21"/>
                <w:highlight w:val="none"/>
              </w:rPr>
              <w:t>文件名称</w:t>
            </w:r>
          </w:p>
        </w:tc>
        <w:tc>
          <w:tcPr>
            <w:tcW w:w="2905" w:type="dxa"/>
            <w:noWrap w:val="0"/>
            <w:vAlign w:val="center"/>
          </w:tcPr>
          <w:p w14:paraId="048D7E4B">
            <w:pPr>
              <w:autoSpaceDE w:val="0"/>
              <w:autoSpaceDN w:val="0"/>
              <w:adjustRightInd w:val="0"/>
              <w:jc w:val="center"/>
              <w:rPr>
                <w:rFonts w:hint="eastAsia" w:ascii="宋体" w:hAnsi="宋体" w:cs="微软雅黑"/>
                <w:b/>
                <w:color w:val="auto"/>
                <w:kern w:val="0"/>
                <w:szCs w:val="21"/>
                <w:highlight w:val="none"/>
              </w:rPr>
            </w:pPr>
            <w:r>
              <w:rPr>
                <w:rFonts w:hint="eastAsia" w:ascii="宋体" w:hAnsi="宋体" w:cs="微软雅黑"/>
                <w:b/>
                <w:color w:val="auto"/>
                <w:kern w:val="0"/>
                <w:szCs w:val="21"/>
                <w:highlight w:val="none"/>
              </w:rPr>
              <w:t>备注</w:t>
            </w:r>
          </w:p>
        </w:tc>
      </w:tr>
      <w:tr w14:paraId="7F6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42D5A4A9">
            <w:pPr>
              <w:autoSpaceDE w:val="0"/>
              <w:autoSpaceDN w:val="0"/>
              <w:adjustRightInd w:val="0"/>
              <w:jc w:val="center"/>
              <w:rPr>
                <w:rFonts w:hint="eastAsia" w:ascii="宋体" w:hAnsi="宋体" w:cs="微软雅黑"/>
                <w:color w:val="auto"/>
                <w:kern w:val="0"/>
                <w:szCs w:val="21"/>
                <w:highlight w:val="none"/>
              </w:rPr>
            </w:pPr>
            <w:r>
              <w:rPr>
                <w:rFonts w:ascii="宋体" w:hAnsi="宋体" w:cs="微软雅黑"/>
                <w:color w:val="auto"/>
                <w:kern w:val="0"/>
                <w:szCs w:val="21"/>
                <w:highlight w:val="none"/>
              </w:rPr>
              <w:t>1</w:t>
            </w:r>
          </w:p>
        </w:tc>
        <w:tc>
          <w:tcPr>
            <w:tcW w:w="4536" w:type="dxa"/>
            <w:noWrap w:val="0"/>
            <w:vAlign w:val="center"/>
          </w:tcPr>
          <w:p w14:paraId="19EC8E4C">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一次、二次设备安装图</w:t>
            </w:r>
          </w:p>
        </w:tc>
        <w:tc>
          <w:tcPr>
            <w:tcW w:w="2905" w:type="dxa"/>
            <w:noWrap w:val="0"/>
            <w:vAlign w:val="center"/>
          </w:tcPr>
          <w:p w14:paraId="383E0E81">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可编辑电子版和纸质版</w:t>
            </w:r>
          </w:p>
        </w:tc>
      </w:tr>
      <w:tr w14:paraId="6CB7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0EE1CBDA">
            <w:pPr>
              <w:autoSpaceDE w:val="0"/>
              <w:autoSpaceDN w:val="0"/>
              <w:adjustRightInd w:val="0"/>
              <w:jc w:val="center"/>
              <w:rPr>
                <w:rFonts w:hint="eastAsia" w:ascii="宋体" w:hAnsi="宋体" w:cs="微软雅黑"/>
                <w:color w:val="auto"/>
                <w:kern w:val="0"/>
                <w:szCs w:val="21"/>
                <w:highlight w:val="none"/>
              </w:rPr>
            </w:pPr>
            <w:r>
              <w:rPr>
                <w:rFonts w:ascii="宋体" w:hAnsi="宋体" w:cs="微软雅黑"/>
                <w:color w:val="auto"/>
                <w:kern w:val="0"/>
                <w:szCs w:val="21"/>
                <w:highlight w:val="none"/>
              </w:rPr>
              <w:t>2</w:t>
            </w:r>
          </w:p>
        </w:tc>
        <w:tc>
          <w:tcPr>
            <w:tcW w:w="4536" w:type="dxa"/>
            <w:noWrap w:val="0"/>
            <w:vAlign w:val="center"/>
          </w:tcPr>
          <w:p w14:paraId="38911DA0">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设备基础安装图</w:t>
            </w:r>
          </w:p>
        </w:tc>
        <w:tc>
          <w:tcPr>
            <w:tcW w:w="2905" w:type="dxa"/>
            <w:noWrap w:val="0"/>
            <w:vAlign w:val="center"/>
          </w:tcPr>
          <w:p w14:paraId="7D8A4C4F">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可编辑电子版和纸质版</w:t>
            </w:r>
          </w:p>
        </w:tc>
      </w:tr>
      <w:tr w14:paraId="0AB2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6C7EA026">
            <w:pPr>
              <w:autoSpaceDE w:val="0"/>
              <w:autoSpaceDN w:val="0"/>
              <w:adjustRightInd w:val="0"/>
              <w:jc w:val="center"/>
              <w:rPr>
                <w:rFonts w:hint="eastAsia" w:ascii="宋体" w:hAnsi="宋体" w:cs="微软雅黑"/>
                <w:color w:val="auto"/>
                <w:kern w:val="0"/>
                <w:szCs w:val="21"/>
                <w:highlight w:val="none"/>
              </w:rPr>
            </w:pPr>
            <w:r>
              <w:rPr>
                <w:rFonts w:ascii="宋体" w:hAnsi="宋体" w:cs="微软雅黑"/>
                <w:color w:val="auto"/>
                <w:kern w:val="0"/>
                <w:szCs w:val="21"/>
                <w:highlight w:val="none"/>
              </w:rPr>
              <w:t>3</w:t>
            </w:r>
          </w:p>
        </w:tc>
        <w:tc>
          <w:tcPr>
            <w:tcW w:w="4536" w:type="dxa"/>
            <w:noWrap w:val="0"/>
            <w:vAlign w:val="center"/>
          </w:tcPr>
          <w:p w14:paraId="67ED6E96">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安装工艺文件</w:t>
            </w:r>
          </w:p>
        </w:tc>
        <w:tc>
          <w:tcPr>
            <w:tcW w:w="2905" w:type="dxa"/>
            <w:noWrap w:val="0"/>
            <w:vAlign w:val="center"/>
          </w:tcPr>
          <w:p w14:paraId="6BD6734C">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可编辑电子版和纸质版</w:t>
            </w:r>
          </w:p>
        </w:tc>
      </w:tr>
      <w:tr w14:paraId="2C2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56E7EAE2">
            <w:pPr>
              <w:autoSpaceDE w:val="0"/>
              <w:autoSpaceDN w:val="0"/>
              <w:adjustRightInd w:val="0"/>
              <w:jc w:val="center"/>
              <w:rPr>
                <w:rFonts w:hint="eastAsia" w:ascii="宋体" w:hAnsi="宋体" w:cs="微软雅黑"/>
                <w:color w:val="auto"/>
                <w:kern w:val="0"/>
                <w:szCs w:val="21"/>
                <w:highlight w:val="none"/>
              </w:rPr>
            </w:pPr>
            <w:r>
              <w:rPr>
                <w:rFonts w:ascii="宋体" w:hAnsi="宋体" w:cs="微软雅黑"/>
                <w:color w:val="auto"/>
                <w:kern w:val="0"/>
                <w:szCs w:val="21"/>
                <w:highlight w:val="none"/>
              </w:rPr>
              <w:t>4</w:t>
            </w:r>
          </w:p>
        </w:tc>
        <w:tc>
          <w:tcPr>
            <w:tcW w:w="4536" w:type="dxa"/>
            <w:noWrap w:val="0"/>
            <w:vAlign w:val="center"/>
          </w:tcPr>
          <w:p w14:paraId="043511EF">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安装主材、辅材统计表</w:t>
            </w:r>
          </w:p>
        </w:tc>
        <w:tc>
          <w:tcPr>
            <w:tcW w:w="2905" w:type="dxa"/>
            <w:noWrap w:val="0"/>
            <w:vAlign w:val="center"/>
          </w:tcPr>
          <w:p w14:paraId="15FD0A91">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可编辑电子版和纸质版</w:t>
            </w:r>
          </w:p>
        </w:tc>
      </w:tr>
      <w:tr w14:paraId="47D9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3" w:type="dxa"/>
            <w:noWrap w:val="0"/>
            <w:vAlign w:val="center"/>
          </w:tcPr>
          <w:p w14:paraId="68FEC728">
            <w:pPr>
              <w:autoSpaceDE w:val="0"/>
              <w:autoSpaceDN w:val="0"/>
              <w:adjustRightInd w:val="0"/>
              <w:jc w:val="center"/>
              <w:rPr>
                <w:rFonts w:hint="eastAsia" w:ascii="宋体" w:hAnsi="宋体" w:cs="微软雅黑"/>
                <w:color w:val="auto"/>
                <w:kern w:val="0"/>
                <w:szCs w:val="21"/>
                <w:highlight w:val="none"/>
              </w:rPr>
            </w:pPr>
            <w:r>
              <w:rPr>
                <w:rFonts w:ascii="宋体" w:hAnsi="宋体" w:cs="微软雅黑"/>
                <w:color w:val="auto"/>
                <w:kern w:val="0"/>
                <w:szCs w:val="21"/>
                <w:highlight w:val="none"/>
              </w:rPr>
              <w:t>5</w:t>
            </w:r>
          </w:p>
        </w:tc>
        <w:tc>
          <w:tcPr>
            <w:tcW w:w="4536" w:type="dxa"/>
            <w:noWrap w:val="0"/>
            <w:vAlign w:val="center"/>
          </w:tcPr>
          <w:p w14:paraId="1A9161DA">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其它和安装相关的文件等</w:t>
            </w:r>
          </w:p>
        </w:tc>
        <w:tc>
          <w:tcPr>
            <w:tcW w:w="2905" w:type="dxa"/>
            <w:noWrap w:val="0"/>
            <w:vAlign w:val="center"/>
          </w:tcPr>
          <w:p w14:paraId="0106589C">
            <w:pPr>
              <w:autoSpaceDE w:val="0"/>
              <w:autoSpaceDN w:val="0"/>
              <w:adjustRightInd w:val="0"/>
              <w:jc w:val="left"/>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可编辑电子版和纸质版</w:t>
            </w:r>
          </w:p>
        </w:tc>
      </w:tr>
    </w:tbl>
    <w:p w14:paraId="0B456E6F">
      <w:pPr>
        <w:pStyle w:val="3"/>
        <w:rPr>
          <w:rFonts w:hint="eastAsia" w:ascii="宋体" w:hAnsi="宋体"/>
          <w:color w:val="auto"/>
          <w:highlight w:val="none"/>
        </w:rPr>
      </w:pPr>
      <w:bookmarkStart w:id="6" w:name="_Toc204674263"/>
      <w:r>
        <w:rPr>
          <w:rFonts w:hint="eastAsia" w:ascii="宋体" w:hAnsi="宋体"/>
          <w:color w:val="auto"/>
          <w:highlight w:val="none"/>
        </w:rPr>
        <w:t>3、执行标准</w:t>
      </w:r>
      <w:bookmarkEnd w:id="6"/>
    </w:p>
    <w:p w14:paraId="2BA6E19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本项目电气设备安装适用的标准、规范为国家、地方及行业现行标准、规范，以及在合同实施期间国家、地方及行业对下列标准或规范的修改。标准和规范包括但不限于：</w:t>
      </w:r>
    </w:p>
    <w:p w14:paraId="3302B956">
      <w:pPr>
        <w:pStyle w:val="6"/>
        <w:numPr>
          <w:ilvl w:val="0"/>
          <w:numId w:val="3"/>
        </w:numPr>
        <w:adjustRightInd w:val="0"/>
        <w:snapToGrid w:val="0"/>
        <w:spacing w:line="360" w:lineRule="auto"/>
        <w:ind w:firstLineChars="0"/>
        <w:rPr>
          <w:rFonts w:hint="eastAsia" w:ascii="宋体" w:hAnsi="宋体"/>
          <w:color w:val="auto"/>
          <w:szCs w:val="21"/>
          <w:highlight w:val="none"/>
        </w:rPr>
      </w:pPr>
      <w:r>
        <w:rPr>
          <w:rFonts w:ascii="宋体" w:hAnsi="宋体"/>
          <w:color w:val="auto"/>
          <w:szCs w:val="21"/>
          <w:highlight w:val="none"/>
        </w:rPr>
        <w:t xml:space="preserve">GB/T 1804-2000 </w:t>
      </w:r>
      <w:r>
        <w:rPr>
          <w:rFonts w:hint="eastAsia" w:ascii="宋体" w:hAnsi="宋体"/>
          <w:color w:val="auto"/>
          <w:szCs w:val="21"/>
          <w:highlight w:val="none"/>
        </w:rPr>
        <w:t>一般公差 未注公差的线性和角度尺寸的公差</w:t>
      </w:r>
    </w:p>
    <w:p w14:paraId="24365495">
      <w:pPr>
        <w:pStyle w:val="6"/>
        <w:numPr>
          <w:ilvl w:val="0"/>
          <w:numId w:val="3"/>
        </w:numPr>
        <w:adjustRightInd w:val="0"/>
        <w:snapToGrid w:val="0"/>
        <w:spacing w:line="360" w:lineRule="auto"/>
        <w:ind w:firstLineChars="0"/>
        <w:rPr>
          <w:rFonts w:hint="eastAsia" w:ascii="宋体" w:hAnsi="宋体"/>
          <w:color w:val="auto"/>
          <w:szCs w:val="21"/>
          <w:highlight w:val="none"/>
        </w:rPr>
      </w:pPr>
      <w:r>
        <w:rPr>
          <w:rFonts w:hint="eastAsia" w:ascii="宋体" w:hAnsi="宋体"/>
          <w:color w:val="auto"/>
          <w:szCs w:val="21"/>
          <w:highlight w:val="none"/>
        </w:rPr>
        <w:t>G</w:t>
      </w:r>
      <w:r>
        <w:rPr>
          <w:rFonts w:ascii="宋体" w:hAnsi="宋体"/>
          <w:color w:val="auto"/>
          <w:szCs w:val="21"/>
          <w:highlight w:val="none"/>
        </w:rPr>
        <w:t xml:space="preserve">B50171-2012 </w:t>
      </w:r>
      <w:r>
        <w:rPr>
          <w:rFonts w:hint="eastAsia" w:ascii="宋体" w:hAnsi="宋体"/>
          <w:color w:val="auto"/>
          <w:szCs w:val="21"/>
          <w:highlight w:val="none"/>
        </w:rPr>
        <w:t>电气装置安装工程盘、柜及二次回路接线施工及验收规范</w:t>
      </w:r>
    </w:p>
    <w:p w14:paraId="267D0421">
      <w:pPr>
        <w:pStyle w:val="6"/>
        <w:numPr>
          <w:ilvl w:val="0"/>
          <w:numId w:val="3"/>
        </w:numPr>
        <w:adjustRightInd w:val="0"/>
        <w:snapToGrid w:val="0"/>
        <w:spacing w:line="360" w:lineRule="auto"/>
        <w:ind w:firstLineChars="0"/>
        <w:rPr>
          <w:rFonts w:hint="eastAsia" w:ascii="宋体" w:hAnsi="宋体"/>
          <w:color w:val="auto"/>
          <w:szCs w:val="21"/>
          <w:highlight w:val="none"/>
        </w:rPr>
      </w:pPr>
      <w:r>
        <w:rPr>
          <w:rFonts w:ascii="宋体" w:hAnsi="宋体"/>
          <w:color w:val="auto"/>
          <w:szCs w:val="21"/>
          <w:highlight w:val="none"/>
        </w:rPr>
        <w:t xml:space="preserve">DL/T 5866—2023 </w:t>
      </w:r>
      <w:r>
        <w:rPr>
          <w:rFonts w:hint="eastAsia" w:ascii="宋体" w:hAnsi="宋体"/>
          <w:color w:val="auto"/>
          <w:szCs w:val="21"/>
          <w:highlight w:val="none"/>
        </w:rPr>
        <w:t>电气装置安装工程盘、柜及二次回路接线施工及验收规范</w:t>
      </w:r>
    </w:p>
    <w:p w14:paraId="3D8A591B">
      <w:pPr>
        <w:pStyle w:val="6"/>
        <w:numPr>
          <w:ilvl w:val="0"/>
          <w:numId w:val="3"/>
        </w:numPr>
        <w:adjustRightInd w:val="0"/>
        <w:snapToGrid w:val="0"/>
        <w:spacing w:line="360" w:lineRule="auto"/>
        <w:ind w:firstLineChars="0"/>
        <w:rPr>
          <w:rFonts w:hint="eastAsia" w:ascii="宋体" w:hAnsi="宋体"/>
          <w:color w:val="auto"/>
          <w:szCs w:val="21"/>
          <w:highlight w:val="none"/>
        </w:rPr>
      </w:pPr>
      <w:r>
        <w:rPr>
          <w:rFonts w:hint="eastAsia" w:ascii="宋体" w:hAnsi="宋体"/>
          <w:color w:val="auto"/>
          <w:szCs w:val="21"/>
          <w:highlight w:val="none"/>
        </w:rPr>
        <w:t>G</w:t>
      </w:r>
      <w:r>
        <w:rPr>
          <w:rFonts w:ascii="宋体" w:hAnsi="宋体"/>
          <w:color w:val="auto"/>
          <w:szCs w:val="21"/>
          <w:highlight w:val="none"/>
        </w:rPr>
        <w:t xml:space="preserve">B 50258-1996 </w:t>
      </w:r>
      <w:r>
        <w:rPr>
          <w:rFonts w:hint="eastAsia" w:ascii="宋体" w:hAnsi="宋体"/>
          <w:color w:val="auto"/>
          <w:szCs w:val="21"/>
          <w:highlight w:val="none"/>
        </w:rPr>
        <w:t>电气装置安装工程110k</w:t>
      </w:r>
      <w:r>
        <w:rPr>
          <w:rFonts w:ascii="宋体" w:hAnsi="宋体"/>
          <w:color w:val="auto"/>
          <w:szCs w:val="21"/>
          <w:highlight w:val="none"/>
        </w:rPr>
        <w:t>V</w:t>
      </w:r>
      <w:r>
        <w:rPr>
          <w:rFonts w:hint="eastAsia" w:ascii="宋体" w:hAnsi="宋体"/>
          <w:color w:val="auto"/>
          <w:szCs w:val="21"/>
          <w:highlight w:val="none"/>
        </w:rPr>
        <w:t>及以上配线工程施工及验收规范</w:t>
      </w:r>
    </w:p>
    <w:p w14:paraId="13D241DF">
      <w:pPr>
        <w:pStyle w:val="6"/>
        <w:numPr>
          <w:ilvl w:val="0"/>
          <w:numId w:val="3"/>
        </w:numPr>
        <w:adjustRightInd w:val="0"/>
        <w:snapToGrid w:val="0"/>
        <w:spacing w:line="360" w:lineRule="auto"/>
        <w:ind w:firstLineChars="0"/>
        <w:rPr>
          <w:rFonts w:hint="eastAsia" w:ascii="宋体" w:hAnsi="宋体"/>
          <w:color w:val="auto"/>
          <w:szCs w:val="21"/>
          <w:highlight w:val="none"/>
        </w:rPr>
      </w:pPr>
      <w:r>
        <w:rPr>
          <w:rFonts w:hint="eastAsia" w:ascii="宋体" w:hAnsi="宋体"/>
          <w:color w:val="auto"/>
          <w:szCs w:val="21"/>
          <w:highlight w:val="none"/>
        </w:rPr>
        <w:t>GB 50168-2018 电气装置安装工程 电缆线路施工及验收标准</w:t>
      </w:r>
    </w:p>
    <w:p w14:paraId="4D0FE0D9">
      <w:pPr>
        <w:adjustRightInd w:val="0"/>
        <w:snapToGrid w:val="0"/>
        <w:spacing w:before="120" w:beforeLines="50" w:line="360" w:lineRule="auto"/>
        <w:rPr>
          <w:rFonts w:hint="eastAsia"/>
          <w:b/>
          <w:color w:val="auto"/>
          <w:sz w:val="24"/>
          <w:highlight w:val="none"/>
        </w:rPr>
      </w:pPr>
    </w:p>
    <w:p w14:paraId="52EB53DC">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83CC8"/>
    <w:multiLevelType w:val="multilevel"/>
    <w:tmpl w:val="1D283CC8"/>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E433E76"/>
    <w:multiLevelType w:val="singleLevel"/>
    <w:tmpl w:val="1E433E76"/>
    <w:lvl w:ilvl="0" w:tentative="0">
      <w:start w:val="1"/>
      <w:numFmt w:val="decimal"/>
      <w:suff w:val="nothing"/>
      <w:lvlText w:val="%1、"/>
      <w:lvlJc w:val="left"/>
    </w:lvl>
  </w:abstractNum>
  <w:abstractNum w:abstractNumId="2">
    <w:nsid w:val="4F400572"/>
    <w:multiLevelType w:val="multilevel"/>
    <w:tmpl w:val="4F4005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81685"/>
    <w:rsid w:val="1748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2026-06-11T01:45:00Z</dcterms:created>
  <dc:creator>宋方方</dc:creator>
  <cp:lastModifiedBy>宋方方</cp:lastModifiedBy>
  <dcterms:modified xsi:type="dcterms:W3CDTF">2026-06-11T01:45:19Z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B3B845828718423A8148DBB77432048A_11</vt:lpwstr>
  </property>
  <property fmtid="{D5CDD505-2E9C-101B-9397-08002B2CF9AE}" pid="4" name="KSOTemplateDocerSaveRecord">
    <vt:lpwstr>eyJoZGlkIjoiY2ZjZDI4YmRkZDY3MGZmNjNjY2JiZTFlYmI4OWM0ZWEiLCJ1c2VySWQiOiIxNzYzODEyODI4In0=</vt:lpwstr>
  </property>
</Properties>
</file>