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BF8EF">
      <w:pPr>
        <w:pStyle w:val="3"/>
        <w:widowControl/>
        <w:snapToGrid w:val="0"/>
        <w:spacing w:before="0" w:after="0" w:line="360" w:lineRule="auto"/>
        <w:jc w:val="center"/>
        <w:rPr>
          <w:rFonts w:hint="eastAsia" w:ascii="宋体" w:hAnsi="宋体"/>
          <w:color w:val="auto"/>
          <w:highlight w:val="none"/>
        </w:rPr>
      </w:pPr>
      <w:r>
        <w:rPr>
          <w:rFonts w:hint="eastAsia" w:ascii="宋体" w:hAnsi="宋体"/>
          <w:color w:val="auto"/>
          <w:highlight w:val="none"/>
        </w:rPr>
        <w:t>采购需求及技术规格要求</w:t>
      </w:r>
    </w:p>
    <w:p w14:paraId="44F1B63D">
      <w:pPr>
        <w:adjustRightInd w:val="0"/>
        <w:snapToGrid w:val="0"/>
        <w:spacing w:before="120" w:beforeLines="50" w:line="360" w:lineRule="auto"/>
        <w:rPr>
          <w:b/>
          <w:color w:val="auto"/>
          <w:sz w:val="24"/>
          <w:highlight w:val="none"/>
        </w:rPr>
      </w:pPr>
      <w:r>
        <w:rPr>
          <w:b/>
          <w:color w:val="auto"/>
          <w:sz w:val="24"/>
          <w:highlight w:val="none"/>
        </w:rPr>
        <w:t>1</w:t>
      </w:r>
      <w:r>
        <w:rPr>
          <w:rFonts w:hint="eastAsia"/>
          <w:b/>
          <w:color w:val="auto"/>
          <w:sz w:val="24"/>
          <w:highlight w:val="none"/>
        </w:rPr>
        <w:t>、</w:t>
      </w:r>
      <w:r>
        <w:rPr>
          <w:b/>
          <w:color w:val="auto"/>
          <w:sz w:val="24"/>
          <w:highlight w:val="none"/>
        </w:rPr>
        <w:t>货物需求一览表</w:t>
      </w:r>
    </w:p>
    <w:p w14:paraId="31622A1E">
      <w:pPr>
        <w:widowControl/>
        <w:spacing w:line="360" w:lineRule="auto"/>
        <w:ind w:firstLine="420" w:firstLineChars="200"/>
        <w:rPr>
          <w:rFonts w:ascii="宋体" w:hAnsi="宋体"/>
          <w:color w:val="auto"/>
          <w:szCs w:val="21"/>
          <w:highlight w:val="none"/>
        </w:rPr>
      </w:pPr>
    </w:p>
    <w:tbl>
      <w:tblPr>
        <w:tblStyle w:val="4"/>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3378"/>
        <w:gridCol w:w="1239"/>
        <w:gridCol w:w="1294"/>
        <w:gridCol w:w="1790"/>
      </w:tblGrid>
      <w:tr w14:paraId="1A0B6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04" w:type="dxa"/>
            <w:noWrap w:val="0"/>
            <w:vAlign w:val="center"/>
          </w:tcPr>
          <w:p w14:paraId="7194B5D3">
            <w:pPr>
              <w:adjustRightInd w:val="0"/>
              <w:snapToGrid w:val="0"/>
              <w:jc w:val="center"/>
              <w:rPr>
                <w:rFonts w:ascii="宋体" w:hAnsi="宋体"/>
                <w:color w:val="auto"/>
                <w:szCs w:val="21"/>
                <w:highlight w:val="none"/>
              </w:rPr>
            </w:pPr>
            <w:r>
              <w:rPr>
                <w:rFonts w:hint="eastAsia" w:ascii="宋体" w:hAnsi="宋体"/>
                <w:color w:val="auto"/>
                <w:szCs w:val="21"/>
                <w:highlight w:val="none"/>
              </w:rPr>
              <w:t>序号</w:t>
            </w:r>
          </w:p>
        </w:tc>
        <w:tc>
          <w:tcPr>
            <w:tcW w:w="3378" w:type="dxa"/>
            <w:noWrap w:val="0"/>
            <w:vAlign w:val="center"/>
          </w:tcPr>
          <w:p w14:paraId="23559C3D">
            <w:pPr>
              <w:adjustRightInd w:val="0"/>
              <w:snapToGrid w:val="0"/>
              <w:jc w:val="center"/>
              <w:rPr>
                <w:rFonts w:ascii="宋体" w:hAnsi="宋体"/>
                <w:color w:val="auto"/>
                <w:szCs w:val="21"/>
                <w:highlight w:val="none"/>
              </w:rPr>
            </w:pPr>
            <w:r>
              <w:rPr>
                <w:rFonts w:hint="eastAsia" w:ascii="宋体" w:hAnsi="宋体"/>
                <w:color w:val="auto"/>
                <w:szCs w:val="21"/>
                <w:highlight w:val="none"/>
              </w:rPr>
              <w:t>货物名称</w:t>
            </w:r>
          </w:p>
        </w:tc>
        <w:tc>
          <w:tcPr>
            <w:tcW w:w="1239" w:type="dxa"/>
            <w:noWrap w:val="0"/>
            <w:vAlign w:val="center"/>
          </w:tcPr>
          <w:p w14:paraId="685DC1D5">
            <w:pPr>
              <w:adjustRightInd w:val="0"/>
              <w:snapToGrid w:val="0"/>
              <w:jc w:val="center"/>
              <w:rPr>
                <w:rFonts w:ascii="宋体" w:hAnsi="宋体"/>
                <w:color w:val="auto"/>
                <w:szCs w:val="21"/>
                <w:highlight w:val="none"/>
              </w:rPr>
            </w:pPr>
            <w:r>
              <w:rPr>
                <w:rFonts w:hint="eastAsia" w:ascii="宋体" w:hAnsi="宋体"/>
                <w:color w:val="auto"/>
                <w:szCs w:val="21"/>
                <w:highlight w:val="none"/>
              </w:rPr>
              <w:t>数量</w:t>
            </w:r>
          </w:p>
        </w:tc>
        <w:tc>
          <w:tcPr>
            <w:tcW w:w="1294" w:type="dxa"/>
            <w:noWrap w:val="0"/>
            <w:vAlign w:val="center"/>
          </w:tcPr>
          <w:p w14:paraId="11E5FF18">
            <w:pPr>
              <w:adjustRightInd w:val="0"/>
              <w:snapToGrid w:val="0"/>
              <w:jc w:val="center"/>
              <w:rPr>
                <w:rFonts w:ascii="宋体" w:hAnsi="宋体"/>
                <w:color w:val="auto"/>
                <w:szCs w:val="21"/>
                <w:highlight w:val="none"/>
              </w:rPr>
            </w:pPr>
            <w:r>
              <w:rPr>
                <w:rFonts w:hint="eastAsia" w:ascii="宋体" w:hAnsi="宋体"/>
                <w:color w:val="auto"/>
                <w:szCs w:val="21"/>
                <w:highlight w:val="none"/>
              </w:rPr>
              <w:t>预算（万元）</w:t>
            </w:r>
          </w:p>
        </w:tc>
        <w:tc>
          <w:tcPr>
            <w:tcW w:w="1790" w:type="dxa"/>
            <w:noWrap w:val="0"/>
            <w:vAlign w:val="center"/>
          </w:tcPr>
          <w:p w14:paraId="41E1EB4B">
            <w:pPr>
              <w:adjustRightInd w:val="0"/>
              <w:snapToGrid w:val="0"/>
              <w:jc w:val="center"/>
              <w:rPr>
                <w:rFonts w:ascii="宋体" w:hAnsi="宋体"/>
                <w:color w:val="auto"/>
                <w:szCs w:val="21"/>
                <w:highlight w:val="none"/>
              </w:rPr>
            </w:pPr>
            <w:r>
              <w:rPr>
                <w:rFonts w:hint="eastAsia" w:ascii="宋体" w:hAnsi="宋体"/>
                <w:color w:val="auto"/>
                <w:szCs w:val="21"/>
                <w:highlight w:val="none"/>
              </w:rPr>
              <w:t>交货期</w:t>
            </w:r>
          </w:p>
        </w:tc>
      </w:tr>
      <w:tr w14:paraId="72498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4" w:type="dxa"/>
            <w:noWrap w:val="0"/>
            <w:vAlign w:val="center"/>
          </w:tcPr>
          <w:p w14:paraId="2DFD0A4E">
            <w:pPr>
              <w:adjustRightInd w:val="0"/>
              <w:snapToGrid w:val="0"/>
              <w:jc w:val="center"/>
              <w:rPr>
                <w:rFonts w:ascii="宋体" w:hAnsi="宋体"/>
                <w:color w:val="auto"/>
                <w:szCs w:val="21"/>
                <w:highlight w:val="none"/>
              </w:rPr>
            </w:pPr>
            <w:r>
              <w:rPr>
                <w:rFonts w:hint="eastAsia" w:ascii="宋体" w:hAnsi="宋体"/>
                <w:color w:val="auto"/>
                <w:szCs w:val="21"/>
                <w:highlight w:val="none"/>
              </w:rPr>
              <w:t>1</w:t>
            </w:r>
          </w:p>
        </w:tc>
        <w:tc>
          <w:tcPr>
            <w:tcW w:w="3378" w:type="dxa"/>
            <w:noWrap w:val="0"/>
            <w:vAlign w:val="center"/>
          </w:tcPr>
          <w:p w14:paraId="3787C371">
            <w:pPr>
              <w:adjustRightInd w:val="0"/>
              <w:snapToGrid w:val="0"/>
              <w:jc w:val="center"/>
              <w:rPr>
                <w:rFonts w:ascii="宋体" w:hAnsi="宋体"/>
                <w:color w:val="auto"/>
                <w:szCs w:val="21"/>
                <w:highlight w:val="none"/>
              </w:rPr>
            </w:pPr>
            <w:r>
              <w:rPr>
                <w:rFonts w:hint="eastAsia" w:ascii="宋体" w:hAnsi="宋体"/>
                <w:color w:val="auto"/>
                <w:szCs w:val="21"/>
                <w:highlight w:val="none"/>
              </w:rPr>
              <w:t>P</w:t>
            </w:r>
            <w:r>
              <w:rPr>
                <w:rFonts w:ascii="宋体" w:hAnsi="宋体"/>
                <w:color w:val="auto"/>
                <w:szCs w:val="21"/>
                <w:highlight w:val="none"/>
              </w:rPr>
              <w:t>SM</w:t>
            </w:r>
            <w:r>
              <w:rPr>
                <w:rFonts w:hint="eastAsia" w:ascii="宋体" w:hAnsi="宋体"/>
                <w:color w:val="auto"/>
                <w:szCs w:val="21"/>
                <w:highlight w:val="none"/>
              </w:rPr>
              <w:t>电源模块</w:t>
            </w:r>
          </w:p>
        </w:tc>
        <w:tc>
          <w:tcPr>
            <w:tcW w:w="1239" w:type="dxa"/>
            <w:noWrap w:val="0"/>
            <w:vAlign w:val="center"/>
          </w:tcPr>
          <w:p w14:paraId="20F9B013">
            <w:pPr>
              <w:adjustRightInd w:val="0"/>
              <w:snapToGrid w:val="0"/>
              <w:jc w:val="center"/>
              <w:rPr>
                <w:rFonts w:ascii="宋体" w:hAnsi="宋体"/>
                <w:color w:val="auto"/>
                <w:szCs w:val="21"/>
                <w:highlight w:val="none"/>
              </w:rPr>
            </w:pPr>
            <w:r>
              <w:rPr>
                <w:rFonts w:ascii="宋体" w:hAnsi="宋体"/>
                <w:color w:val="auto"/>
                <w:szCs w:val="21"/>
                <w:highlight w:val="none"/>
              </w:rPr>
              <w:t>61</w:t>
            </w:r>
          </w:p>
        </w:tc>
        <w:tc>
          <w:tcPr>
            <w:tcW w:w="1294" w:type="dxa"/>
            <w:vMerge w:val="restart"/>
            <w:noWrap w:val="0"/>
            <w:vAlign w:val="center"/>
          </w:tcPr>
          <w:p w14:paraId="6F8B57EC">
            <w:pPr>
              <w:adjustRightInd w:val="0"/>
              <w:snapToGrid w:val="0"/>
              <w:jc w:val="center"/>
              <w:rPr>
                <w:rFonts w:ascii="宋体" w:hAnsi="宋体"/>
                <w:color w:val="auto"/>
                <w:szCs w:val="21"/>
                <w:highlight w:val="none"/>
              </w:rPr>
            </w:pPr>
            <w:r>
              <w:rPr>
                <w:rFonts w:ascii="宋体" w:hAnsi="宋体"/>
                <w:color w:val="auto"/>
                <w:szCs w:val="21"/>
                <w:highlight w:val="none"/>
              </w:rPr>
              <w:t>170</w:t>
            </w:r>
          </w:p>
        </w:tc>
        <w:tc>
          <w:tcPr>
            <w:tcW w:w="1790" w:type="dxa"/>
            <w:vMerge w:val="restart"/>
            <w:noWrap w:val="0"/>
            <w:vAlign w:val="center"/>
          </w:tcPr>
          <w:p w14:paraId="7B1A5272">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3个月</w:t>
            </w:r>
          </w:p>
        </w:tc>
      </w:tr>
      <w:tr w14:paraId="505D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804" w:type="dxa"/>
            <w:noWrap w:val="0"/>
            <w:vAlign w:val="center"/>
          </w:tcPr>
          <w:p w14:paraId="61CE2F86">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2</w:t>
            </w:r>
          </w:p>
        </w:tc>
        <w:tc>
          <w:tcPr>
            <w:tcW w:w="3378" w:type="dxa"/>
            <w:noWrap w:val="0"/>
            <w:vAlign w:val="center"/>
          </w:tcPr>
          <w:p w14:paraId="3D506079">
            <w:pPr>
              <w:adjustRightInd w:val="0"/>
              <w:snapToGrid w:val="0"/>
              <w:jc w:val="center"/>
              <w:rPr>
                <w:rFonts w:hint="eastAsia" w:ascii="宋体" w:hAnsi="宋体"/>
                <w:color w:val="auto"/>
                <w:szCs w:val="21"/>
                <w:highlight w:val="none"/>
              </w:rPr>
            </w:pPr>
            <w:r>
              <w:rPr>
                <w:rFonts w:hint="eastAsia" w:ascii="宋体" w:hAnsi="宋体"/>
                <w:color w:val="auto"/>
                <w:szCs w:val="21"/>
                <w:highlight w:val="none"/>
              </w:rPr>
              <w:t>电源模块安装及电缆连接</w:t>
            </w:r>
          </w:p>
        </w:tc>
        <w:tc>
          <w:tcPr>
            <w:tcW w:w="1239" w:type="dxa"/>
            <w:noWrap w:val="0"/>
            <w:vAlign w:val="center"/>
          </w:tcPr>
          <w:p w14:paraId="51C8F726">
            <w:pPr>
              <w:adjustRightInd w:val="0"/>
              <w:snapToGrid w:val="0"/>
              <w:jc w:val="center"/>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1</w:t>
            </w:r>
          </w:p>
        </w:tc>
        <w:tc>
          <w:tcPr>
            <w:tcW w:w="1294" w:type="dxa"/>
            <w:vMerge w:val="continue"/>
            <w:noWrap w:val="0"/>
            <w:vAlign w:val="center"/>
          </w:tcPr>
          <w:p w14:paraId="33CEDBBE">
            <w:pPr>
              <w:adjustRightInd w:val="0"/>
              <w:snapToGrid w:val="0"/>
              <w:jc w:val="center"/>
              <w:rPr>
                <w:rFonts w:ascii="宋体" w:hAnsi="宋体"/>
                <w:color w:val="auto"/>
                <w:szCs w:val="21"/>
                <w:highlight w:val="none"/>
              </w:rPr>
            </w:pPr>
          </w:p>
        </w:tc>
        <w:tc>
          <w:tcPr>
            <w:tcW w:w="1790" w:type="dxa"/>
            <w:vMerge w:val="continue"/>
            <w:noWrap w:val="0"/>
            <w:vAlign w:val="center"/>
          </w:tcPr>
          <w:p w14:paraId="5BFA1D65">
            <w:pPr>
              <w:adjustRightInd w:val="0"/>
              <w:snapToGrid w:val="0"/>
              <w:jc w:val="center"/>
              <w:rPr>
                <w:rFonts w:hint="eastAsia" w:ascii="宋体" w:hAnsi="宋体"/>
                <w:color w:val="auto"/>
                <w:szCs w:val="21"/>
                <w:highlight w:val="none"/>
              </w:rPr>
            </w:pPr>
          </w:p>
        </w:tc>
      </w:tr>
    </w:tbl>
    <w:p w14:paraId="5600E2C2">
      <w:pPr>
        <w:adjustRightInd w:val="0"/>
        <w:snapToGrid w:val="0"/>
        <w:spacing w:before="120" w:beforeLines="50" w:line="360" w:lineRule="auto"/>
        <w:rPr>
          <w:rFonts w:hint="eastAsia"/>
          <w:b/>
          <w:color w:val="auto"/>
          <w:sz w:val="24"/>
          <w:highlight w:val="none"/>
        </w:rPr>
      </w:pPr>
      <w:bookmarkStart w:id="0" w:name="_Toc532807472"/>
      <w:bookmarkStart w:id="1" w:name="_Toc257021215"/>
      <w:bookmarkStart w:id="2" w:name="_Toc30409514"/>
      <w:bookmarkStart w:id="3" w:name="_Toc12010815"/>
      <w:bookmarkStart w:id="4" w:name="_Toc12010788"/>
      <w:bookmarkStart w:id="5" w:name="_Toc509153917"/>
      <w:r>
        <w:rPr>
          <w:b/>
          <w:color w:val="auto"/>
          <w:sz w:val="24"/>
          <w:highlight w:val="none"/>
        </w:rPr>
        <w:t>2</w:t>
      </w:r>
      <w:r>
        <w:rPr>
          <w:rFonts w:hint="eastAsia"/>
          <w:b/>
          <w:color w:val="auto"/>
          <w:sz w:val="24"/>
          <w:highlight w:val="none"/>
        </w:rPr>
        <w:t>、</w:t>
      </w:r>
      <w:r>
        <w:rPr>
          <w:b/>
          <w:color w:val="auto"/>
          <w:sz w:val="24"/>
          <w:highlight w:val="none"/>
        </w:rPr>
        <w:t>工程技术要求</w:t>
      </w:r>
      <w:bookmarkEnd w:id="0"/>
      <w:bookmarkEnd w:id="1"/>
      <w:bookmarkEnd w:id="2"/>
      <w:bookmarkEnd w:id="3"/>
      <w:bookmarkEnd w:id="4"/>
      <w:bookmarkEnd w:id="5"/>
    </w:p>
    <w:p w14:paraId="6D56B4A9">
      <w:pPr>
        <w:adjustRightInd w:val="0"/>
        <w:snapToGrid w:val="0"/>
        <w:spacing w:before="120" w:beforeLines="50" w:line="360" w:lineRule="auto"/>
        <w:rPr>
          <w:b/>
          <w:color w:val="auto"/>
          <w:sz w:val="24"/>
          <w:highlight w:val="none"/>
        </w:rPr>
      </w:pPr>
      <w:r>
        <w:rPr>
          <w:b/>
          <w:color w:val="auto"/>
          <w:sz w:val="24"/>
          <w:highlight w:val="none"/>
        </w:rPr>
        <w:t>2.</w:t>
      </w:r>
      <w:r>
        <w:rPr>
          <w:rFonts w:hint="eastAsia"/>
          <w:b/>
          <w:color w:val="auto"/>
          <w:sz w:val="24"/>
          <w:highlight w:val="none"/>
        </w:rPr>
        <w:t>1、</w:t>
      </w:r>
      <w:r>
        <w:rPr>
          <w:b/>
          <w:color w:val="auto"/>
          <w:sz w:val="24"/>
          <w:highlight w:val="none"/>
        </w:rPr>
        <w:t>设备的主要用途及功能</w:t>
      </w:r>
    </w:p>
    <w:p w14:paraId="1FEC0979">
      <w:pPr>
        <w:numPr>
          <w:ilvl w:val="0"/>
          <w:numId w:val="1"/>
        </w:numPr>
        <w:snapToGrid w:val="0"/>
        <w:spacing w:line="480" w:lineRule="atLeast"/>
        <w:rPr>
          <w:rFonts w:hint="eastAsia"/>
          <w:color w:val="auto"/>
          <w:sz w:val="24"/>
          <w:highlight w:val="none"/>
        </w:rPr>
      </w:pPr>
      <w:r>
        <w:rPr>
          <w:rFonts w:hint="eastAsia"/>
          <w:color w:val="auto"/>
          <w:sz w:val="24"/>
          <w:highlight w:val="none"/>
        </w:rPr>
        <w:t>负载是等离子体或高功率微波管。</w:t>
      </w:r>
    </w:p>
    <w:p w14:paraId="76BEEA47">
      <w:pPr>
        <w:numPr>
          <w:ilvl w:val="0"/>
          <w:numId w:val="1"/>
        </w:numPr>
        <w:snapToGrid w:val="0"/>
        <w:spacing w:line="480" w:lineRule="atLeast"/>
        <w:rPr>
          <w:rFonts w:hint="eastAsia"/>
          <w:color w:val="auto"/>
          <w:sz w:val="24"/>
          <w:highlight w:val="none"/>
        </w:rPr>
      </w:pPr>
      <w:r>
        <w:rPr>
          <w:rFonts w:hint="eastAsia"/>
          <w:color w:val="auto"/>
          <w:sz w:val="24"/>
          <w:highlight w:val="none"/>
        </w:rPr>
        <w:t>在电源投入初期负载呈一定的阻容性，稳态是变阻性。</w:t>
      </w:r>
    </w:p>
    <w:p w14:paraId="032D6318">
      <w:pPr>
        <w:numPr>
          <w:ilvl w:val="0"/>
          <w:numId w:val="1"/>
        </w:numPr>
        <w:snapToGrid w:val="0"/>
        <w:spacing w:line="480" w:lineRule="atLeast"/>
        <w:rPr>
          <w:rFonts w:hint="eastAsia"/>
          <w:color w:val="auto"/>
          <w:sz w:val="24"/>
          <w:highlight w:val="none"/>
        </w:rPr>
      </w:pPr>
      <w:r>
        <w:rPr>
          <w:rFonts w:hint="eastAsia"/>
          <w:color w:val="auto"/>
          <w:sz w:val="24"/>
          <w:highlight w:val="none"/>
        </w:rPr>
        <w:t>负载连续运行。</w:t>
      </w:r>
    </w:p>
    <w:p w14:paraId="68EEAA83">
      <w:pPr>
        <w:numPr>
          <w:ilvl w:val="0"/>
          <w:numId w:val="1"/>
        </w:numPr>
        <w:adjustRightInd w:val="0"/>
        <w:snapToGrid w:val="0"/>
        <w:spacing w:before="120" w:beforeLines="50" w:line="360" w:lineRule="auto"/>
        <w:rPr>
          <w:b/>
          <w:color w:val="auto"/>
          <w:sz w:val="24"/>
          <w:highlight w:val="none"/>
        </w:rPr>
      </w:pPr>
      <w:r>
        <w:rPr>
          <w:rFonts w:hint="eastAsia"/>
          <w:color w:val="auto"/>
          <w:sz w:val="24"/>
          <w:highlight w:val="none"/>
        </w:rPr>
        <w:t>电源运行时采用1</w:t>
      </w:r>
      <w:r>
        <w:rPr>
          <w:color w:val="auto"/>
          <w:sz w:val="24"/>
          <w:highlight w:val="none"/>
        </w:rPr>
        <w:t>36</w:t>
      </w:r>
      <w:r>
        <w:rPr>
          <w:rFonts w:hint="eastAsia"/>
          <w:color w:val="auto"/>
          <w:sz w:val="24"/>
          <w:highlight w:val="none"/>
        </w:rPr>
        <w:t>个电压源模块串联，输出14</w:t>
      </w:r>
      <w:r>
        <w:rPr>
          <w:color w:val="auto"/>
          <w:sz w:val="24"/>
          <w:highlight w:val="none"/>
        </w:rPr>
        <w:t>0</w:t>
      </w:r>
      <w:r>
        <w:rPr>
          <w:rFonts w:hint="eastAsia"/>
          <w:color w:val="auto"/>
          <w:sz w:val="24"/>
          <w:highlight w:val="none"/>
        </w:rPr>
        <w:t>kV/100A。</w:t>
      </w:r>
    </w:p>
    <w:p w14:paraId="6671B05F">
      <w:pPr>
        <w:numPr>
          <w:ilvl w:val="0"/>
          <w:numId w:val="1"/>
        </w:numPr>
        <w:adjustRightInd w:val="0"/>
        <w:snapToGrid w:val="0"/>
        <w:spacing w:before="120" w:beforeLines="50" w:line="360" w:lineRule="auto"/>
        <w:rPr>
          <w:rFonts w:hint="eastAsia"/>
          <w:b/>
          <w:color w:val="auto"/>
          <w:sz w:val="24"/>
          <w:highlight w:val="none"/>
        </w:rPr>
      </w:pPr>
      <w:r>
        <w:rPr>
          <w:rFonts w:hint="eastAsia"/>
          <w:color w:val="auto"/>
          <w:sz w:val="24"/>
          <w:highlight w:val="none"/>
        </w:rPr>
        <w:t>模块装设通风设备，电源模块与外界强迫换气。</w:t>
      </w:r>
    </w:p>
    <w:p w14:paraId="2DC00F6B">
      <w:pPr>
        <w:adjustRightInd w:val="0"/>
        <w:snapToGrid w:val="0"/>
        <w:spacing w:before="120" w:beforeLines="50" w:line="360" w:lineRule="auto"/>
        <w:rPr>
          <w:b/>
          <w:color w:val="auto"/>
          <w:sz w:val="24"/>
          <w:highlight w:val="none"/>
        </w:rPr>
      </w:pPr>
      <w:r>
        <w:rPr>
          <w:b/>
          <w:color w:val="auto"/>
          <w:sz w:val="24"/>
          <w:highlight w:val="none"/>
        </w:rPr>
        <w:t>2.3</w:t>
      </w:r>
      <w:r>
        <w:rPr>
          <w:rFonts w:hint="eastAsia"/>
          <w:b/>
          <w:color w:val="auto"/>
          <w:sz w:val="24"/>
          <w:highlight w:val="none"/>
        </w:rPr>
        <w:t xml:space="preserve">、 </w:t>
      </w:r>
      <w:r>
        <w:rPr>
          <w:b/>
          <w:color w:val="auto"/>
          <w:sz w:val="24"/>
          <w:highlight w:val="none"/>
        </w:rPr>
        <w:t>工作条件</w:t>
      </w:r>
    </w:p>
    <w:p w14:paraId="7DADE2C0">
      <w:pPr>
        <w:adjustRightInd w:val="0"/>
        <w:snapToGrid w:val="0"/>
        <w:spacing w:before="120" w:beforeLines="50" w:line="360" w:lineRule="auto"/>
        <w:ind w:firstLine="1680" w:firstLineChars="600"/>
        <w:rPr>
          <w:rFonts w:eastAsia="仿宋_GB2312"/>
          <w:color w:val="auto"/>
          <w:sz w:val="28"/>
          <w:szCs w:val="28"/>
          <w:highlight w:val="none"/>
        </w:rPr>
      </w:pPr>
      <w:r>
        <w:rPr>
          <w:rFonts w:eastAsia="仿宋_GB2312"/>
          <w:color w:val="auto"/>
          <w:sz w:val="28"/>
          <w:szCs w:val="28"/>
          <w:highlight w:val="none"/>
        </w:rPr>
        <w:drawing>
          <wp:inline distT="0" distB="0" distL="114300" distR="114300">
            <wp:extent cx="3610610" cy="3586480"/>
            <wp:effectExtent l="0" t="0" r="127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610610" cy="3586480"/>
                    </a:xfrm>
                    <a:prstGeom prst="rect">
                      <a:avLst/>
                    </a:prstGeom>
                    <a:noFill/>
                    <a:ln>
                      <a:noFill/>
                    </a:ln>
                  </pic:spPr>
                </pic:pic>
              </a:graphicData>
            </a:graphic>
          </wp:inline>
        </w:drawing>
      </w:r>
    </w:p>
    <w:p w14:paraId="31A4E871">
      <w:pPr>
        <w:adjustRightInd w:val="0"/>
        <w:snapToGrid w:val="0"/>
        <w:spacing w:before="120" w:beforeLines="50" w:line="360" w:lineRule="auto"/>
        <w:ind w:firstLine="480"/>
        <w:rPr>
          <w:b/>
          <w:color w:val="auto"/>
          <w:sz w:val="24"/>
          <w:highlight w:val="none"/>
        </w:rPr>
      </w:pPr>
      <w:r>
        <w:rPr>
          <w:rFonts w:hint="eastAsia"/>
          <w:b/>
          <w:color w:val="auto"/>
          <w:sz w:val="24"/>
          <w:highlight w:val="none"/>
        </w:rPr>
        <w:t xml:space="preserve"> </w:t>
      </w:r>
      <w:r>
        <w:rPr>
          <w:b/>
          <w:color w:val="auto"/>
          <w:sz w:val="24"/>
          <w:highlight w:val="none"/>
        </w:rPr>
        <w:t xml:space="preserve">                       </w:t>
      </w:r>
      <w:r>
        <w:rPr>
          <w:rFonts w:hint="eastAsia"/>
          <w:b/>
          <w:color w:val="auto"/>
          <w:sz w:val="24"/>
          <w:highlight w:val="none"/>
        </w:rPr>
        <w:t>电源拓扑结构</w:t>
      </w:r>
    </w:p>
    <w:p w14:paraId="21700F71">
      <w:pPr>
        <w:adjustRightInd w:val="0"/>
        <w:snapToGrid w:val="0"/>
        <w:spacing w:before="120" w:beforeLines="50" w:line="360" w:lineRule="auto"/>
        <w:ind w:firstLine="480"/>
        <w:rPr>
          <w:rFonts w:hint="eastAsia"/>
          <w:b/>
          <w:color w:val="auto"/>
          <w:sz w:val="24"/>
          <w:highlight w:val="none"/>
        </w:rPr>
      </w:pPr>
      <w:r>
        <w:rPr>
          <w:rFonts w:hint="eastAsia" w:eastAsia="仿宋_GB2312"/>
          <w:color w:val="auto"/>
          <w:sz w:val="24"/>
          <w:highlight w:val="none"/>
        </w:rPr>
        <w:t>为满足1</w:t>
      </w:r>
      <w:r>
        <w:rPr>
          <w:rFonts w:eastAsia="仿宋_GB2312"/>
          <w:color w:val="auto"/>
          <w:sz w:val="24"/>
          <w:highlight w:val="none"/>
        </w:rPr>
        <w:t>40</w:t>
      </w:r>
      <w:r>
        <w:rPr>
          <w:rFonts w:hint="eastAsia" w:eastAsia="仿宋_GB2312"/>
          <w:color w:val="auto"/>
          <w:sz w:val="24"/>
          <w:highlight w:val="none"/>
        </w:rPr>
        <w:t>kV</w:t>
      </w:r>
      <w:r>
        <w:rPr>
          <w:rFonts w:eastAsia="仿宋_GB2312"/>
          <w:color w:val="auto"/>
          <w:sz w:val="24"/>
          <w:highlight w:val="none"/>
        </w:rPr>
        <w:t xml:space="preserve"> EAST NBI</w:t>
      </w:r>
      <w:r>
        <w:rPr>
          <w:rFonts w:hint="eastAsia" w:eastAsia="仿宋_GB2312"/>
          <w:color w:val="auto"/>
          <w:sz w:val="24"/>
          <w:highlight w:val="none"/>
        </w:rPr>
        <w:t>系统需要，需对招标人的高压电源测试平台进行升级改造。升级优化后的电源拓扑结构如图</w:t>
      </w:r>
      <w:r>
        <w:rPr>
          <w:rFonts w:eastAsia="仿宋_GB2312"/>
          <w:color w:val="auto"/>
          <w:sz w:val="24"/>
          <w:highlight w:val="none"/>
        </w:rPr>
        <w:t>1</w:t>
      </w:r>
      <w:r>
        <w:rPr>
          <w:rFonts w:hint="eastAsia" w:eastAsia="仿宋_GB2312"/>
          <w:color w:val="auto"/>
          <w:sz w:val="24"/>
          <w:highlight w:val="none"/>
        </w:rPr>
        <w:t>所示，在原有基础上增加一台3</w:t>
      </w:r>
      <w:r>
        <w:rPr>
          <w:rFonts w:eastAsia="仿宋_GB2312"/>
          <w:color w:val="auto"/>
          <w:sz w:val="24"/>
          <w:highlight w:val="none"/>
        </w:rPr>
        <w:t>6</w:t>
      </w:r>
      <w:r>
        <w:rPr>
          <w:rFonts w:hint="eastAsia" w:eastAsia="仿宋_GB2312"/>
          <w:color w:val="auto"/>
          <w:sz w:val="24"/>
          <w:highlight w:val="none"/>
        </w:rPr>
        <w:t>多绕组干式变压器，以提升P</w:t>
      </w:r>
      <w:r>
        <w:rPr>
          <w:rFonts w:eastAsia="仿宋_GB2312"/>
          <w:color w:val="auto"/>
          <w:sz w:val="24"/>
          <w:highlight w:val="none"/>
        </w:rPr>
        <w:t>SM</w:t>
      </w:r>
      <w:r>
        <w:rPr>
          <w:rFonts w:hint="eastAsia" w:eastAsia="仿宋_GB2312"/>
          <w:color w:val="auto"/>
          <w:sz w:val="24"/>
          <w:highlight w:val="none"/>
        </w:rPr>
        <w:t>电源的输出电压。由于原有电源运行时间长达1</w:t>
      </w:r>
      <w:r>
        <w:rPr>
          <w:rFonts w:eastAsia="仿宋_GB2312"/>
          <w:color w:val="auto"/>
          <w:sz w:val="24"/>
          <w:highlight w:val="none"/>
        </w:rPr>
        <w:t>5</w:t>
      </w:r>
      <w:r>
        <w:rPr>
          <w:rFonts w:hint="eastAsia" w:eastAsia="仿宋_GB2312"/>
          <w:color w:val="auto"/>
          <w:sz w:val="24"/>
          <w:highlight w:val="none"/>
        </w:rPr>
        <w:t>年之久，因此，原电源的所有电源模块需要更换，并增加3</w:t>
      </w:r>
      <w:r>
        <w:rPr>
          <w:rFonts w:eastAsia="仿宋_GB2312"/>
          <w:color w:val="auto"/>
          <w:sz w:val="24"/>
          <w:highlight w:val="none"/>
        </w:rPr>
        <w:t>6</w:t>
      </w:r>
      <w:r>
        <w:rPr>
          <w:rFonts w:hint="eastAsia" w:eastAsia="仿宋_GB2312"/>
          <w:color w:val="auto"/>
          <w:sz w:val="24"/>
          <w:highlight w:val="none"/>
        </w:rPr>
        <w:t>台</w:t>
      </w:r>
      <w:r>
        <w:rPr>
          <w:rFonts w:eastAsia="仿宋_GB2312"/>
          <w:color w:val="auto"/>
          <w:sz w:val="24"/>
          <w:highlight w:val="none"/>
        </w:rPr>
        <w:t>900V</w:t>
      </w:r>
      <w:r>
        <w:rPr>
          <w:rFonts w:hint="eastAsia" w:eastAsia="仿宋_GB2312"/>
          <w:color w:val="auto"/>
          <w:sz w:val="24"/>
          <w:highlight w:val="none"/>
        </w:rPr>
        <w:t>的P</w:t>
      </w:r>
      <w:r>
        <w:rPr>
          <w:rFonts w:eastAsia="仿宋_GB2312"/>
          <w:color w:val="auto"/>
          <w:sz w:val="24"/>
          <w:highlight w:val="none"/>
        </w:rPr>
        <w:t>SM</w:t>
      </w:r>
      <w:r>
        <w:rPr>
          <w:rFonts w:hint="eastAsia" w:eastAsia="仿宋_GB2312"/>
          <w:color w:val="auto"/>
          <w:sz w:val="24"/>
          <w:highlight w:val="none"/>
        </w:rPr>
        <w:t>电源模块及一台</w:t>
      </w:r>
      <w:r>
        <w:rPr>
          <w:rFonts w:eastAsia="仿宋_GB2312"/>
          <w:color w:val="auto"/>
          <w:sz w:val="24"/>
          <w:highlight w:val="none"/>
        </w:rPr>
        <w:t>10</w:t>
      </w:r>
      <w:r>
        <w:rPr>
          <w:rFonts w:hint="eastAsia" w:eastAsia="仿宋_GB2312"/>
          <w:color w:val="auto"/>
          <w:sz w:val="24"/>
          <w:highlight w:val="none"/>
        </w:rPr>
        <w:t>kV高压开关柜。</w:t>
      </w:r>
    </w:p>
    <w:p w14:paraId="5CD3F5FD">
      <w:pPr>
        <w:adjustRightInd w:val="0"/>
        <w:snapToGrid w:val="0"/>
        <w:spacing w:before="120" w:beforeLines="50" w:line="360" w:lineRule="auto"/>
        <w:rPr>
          <w:b/>
          <w:color w:val="auto"/>
          <w:sz w:val="24"/>
          <w:highlight w:val="none"/>
        </w:rPr>
      </w:pPr>
      <w:r>
        <w:rPr>
          <w:b/>
          <w:color w:val="auto"/>
          <w:sz w:val="24"/>
          <w:highlight w:val="none"/>
        </w:rPr>
        <w:t>2.4</w:t>
      </w:r>
      <w:r>
        <w:rPr>
          <w:rFonts w:hint="eastAsia"/>
          <w:b/>
          <w:color w:val="auto"/>
          <w:sz w:val="24"/>
          <w:highlight w:val="none"/>
        </w:rPr>
        <w:t>、</w:t>
      </w:r>
      <w:r>
        <w:rPr>
          <w:b/>
          <w:color w:val="auto"/>
          <w:sz w:val="24"/>
          <w:highlight w:val="none"/>
        </w:rPr>
        <w:t xml:space="preserve"> 技术性能指标要求</w:t>
      </w:r>
    </w:p>
    <w:p w14:paraId="1BC984A6">
      <w:pPr>
        <w:snapToGrid w:val="0"/>
        <w:spacing w:line="480" w:lineRule="atLeast"/>
        <w:rPr>
          <w:rFonts w:hint="eastAsia"/>
          <w:b/>
          <w:color w:val="auto"/>
          <w:sz w:val="24"/>
          <w:highlight w:val="none"/>
        </w:rPr>
      </w:pPr>
      <w:r>
        <w:rPr>
          <w:rFonts w:hint="eastAsia"/>
          <w:b/>
          <w:color w:val="auto"/>
          <w:sz w:val="24"/>
          <w:highlight w:val="none"/>
        </w:rPr>
        <w:t>主回路：</w:t>
      </w:r>
    </w:p>
    <w:p w14:paraId="4095E423">
      <w:pPr>
        <w:numPr>
          <w:ilvl w:val="0"/>
          <w:numId w:val="2"/>
        </w:numPr>
        <w:snapToGrid w:val="0"/>
        <w:spacing w:line="480" w:lineRule="atLeast"/>
        <w:rPr>
          <w:rFonts w:hint="eastAsia"/>
          <w:color w:val="auto"/>
          <w:sz w:val="24"/>
          <w:highlight w:val="none"/>
        </w:rPr>
      </w:pPr>
      <w:r>
        <w:rPr>
          <w:rFonts w:hint="eastAsia"/>
          <w:color w:val="auto"/>
          <w:sz w:val="24"/>
          <w:highlight w:val="none"/>
        </w:rPr>
        <w:t>3相输入：900Vac/83A，输出额定电流100A的模块有100台。输入电压波动</w:t>
      </w:r>
      <w:r>
        <w:rPr>
          <w:rFonts w:hint="eastAsia" w:ascii="宋体" w:hAnsi="宋体"/>
          <w:color w:val="auto"/>
          <w:sz w:val="24"/>
          <w:highlight w:val="none"/>
        </w:rPr>
        <w:t>≤</w:t>
      </w:r>
      <w:r>
        <w:rPr>
          <w:rFonts w:hint="eastAsia"/>
          <w:color w:val="auto"/>
          <w:sz w:val="24"/>
          <w:highlight w:val="none"/>
        </w:rPr>
        <w:t>±10％。</w:t>
      </w:r>
    </w:p>
    <w:p w14:paraId="634E0296">
      <w:pPr>
        <w:numPr>
          <w:ilvl w:val="0"/>
          <w:numId w:val="2"/>
        </w:numPr>
        <w:snapToGrid w:val="0"/>
        <w:spacing w:line="480" w:lineRule="atLeast"/>
        <w:rPr>
          <w:rFonts w:hint="eastAsia"/>
          <w:color w:val="auto"/>
          <w:sz w:val="24"/>
          <w:highlight w:val="none"/>
        </w:rPr>
      </w:pPr>
      <w:r>
        <w:rPr>
          <w:rFonts w:hint="eastAsia"/>
          <w:color w:val="auto"/>
          <w:sz w:val="24"/>
          <w:highlight w:val="none"/>
        </w:rPr>
        <w:t>直流电压源采用三相二极管整流输出。二极管反向电压大于2800V，电流大于200A，滤波电容3mF/1600V，该电容器推荐薄膜电容器。</w:t>
      </w:r>
    </w:p>
    <w:p w14:paraId="71CEBA54">
      <w:pPr>
        <w:numPr>
          <w:ilvl w:val="0"/>
          <w:numId w:val="2"/>
        </w:numPr>
        <w:snapToGrid w:val="0"/>
        <w:spacing w:line="480" w:lineRule="atLeast"/>
        <w:rPr>
          <w:rFonts w:hint="eastAsia"/>
          <w:color w:val="auto"/>
          <w:sz w:val="24"/>
          <w:highlight w:val="none"/>
        </w:rPr>
      </w:pPr>
      <w:r>
        <w:rPr>
          <w:rFonts w:hint="eastAsia"/>
          <w:color w:val="auto"/>
          <w:sz w:val="24"/>
          <w:highlight w:val="none"/>
        </w:rPr>
        <w:t>在3相电压输入中，设置B相直接连接到二极管整流器上。不通过开关，也不串联熔丝。</w:t>
      </w:r>
    </w:p>
    <w:p w14:paraId="34384DA0">
      <w:pPr>
        <w:numPr>
          <w:ilvl w:val="0"/>
          <w:numId w:val="2"/>
        </w:numPr>
        <w:snapToGrid w:val="0"/>
        <w:spacing w:line="480" w:lineRule="atLeast"/>
        <w:rPr>
          <w:rFonts w:hint="eastAsia"/>
          <w:color w:val="auto"/>
          <w:sz w:val="24"/>
          <w:highlight w:val="none"/>
        </w:rPr>
      </w:pPr>
      <w:r>
        <w:rPr>
          <w:rFonts w:hint="eastAsia"/>
          <w:color w:val="auto"/>
          <w:sz w:val="24"/>
          <w:highlight w:val="none"/>
        </w:rPr>
        <w:t>软启动电路：电阻1 kΩ/100W；真空接触器CKJ：1140Vac/125A，驱动电压220Vac。</w:t>
      </w:r>
    </w:p>
    <w:p w14:paraId="4F385052">
      <w:pPr>
        <w:numPr>
          <w:ilvl w:val="0"/>
          <w:numId w:val="2"/>
        </w:numPr>
        <w:snapToGrid w:val="0"/>
        <w:spacing w:line="480" w:lineRule="atLeast"/>
        <w:rPr>
          <w:rFonts w:hint="eastAsia"/>
          <w:color w:val="auto"/>
          <w:sz w:val="24"/>
          <w:highlight w:val="none"/>
        </w:rPr>
      </w:pPr>
      <w:r>
        <w:rPr>
          <w:rFonts w:hint="eastAsia"/>
          <w:color w:val="auto"/>
          <w:sz w:val="24"/>
          <w:highlight w:val="none"/>
        </w:rPr>
        <w:t>电压源模块输出受IGBT控制，推荐采</w:t>
      </w:r>
      <w:r>
        <w:rPr>
          <w:color w:val="auto"/>
          <w:sz w:val="24"/>
          <w:highlight w:val="none"/>
        </w:rPr>
        <w:t>33</w:t>
      </w:r>
      <w:r>
        <w:rPr>
          <w:rFonts w:hint="eastAsia"/>
          <w:color w:val="auto"/>
          <w:sz w:val="24"/>
          <w:highlight w:val="none"/>
        </w:rPr>
        <w:t>00V/</w:t>
      </w:r>
      <w:r>
        <w:rPr>
          <w:color w:val="auto"/>
          <w:sz w:val="24"/>
          <w:highlight w:val="none"/>
        </w:rPr>
        <w:t>25</w:t>
      </w:r>
      <w:r>
        <w:rPr>
          <w:rFonts w:hint="eastAsia"/>
          <w:color w:val="auto"/>
          <w:sz w:val="24"/>
          <w:highlight w:val="none"/>
        </w:rPr>
        <w:t>0A的IGBT；采用RCD缓冲电路，高频电容C&lt;0.15uF，大于2800V。快恢复二极管耐压大于2800V。</w:t>
      </w:r>
    </w:p>
    <w:p w14:paraId="7E0CC585">
      <w:pPr>
        <w:numPr>
          <w:ilvl w:val="0"/>
          <w:numId w:val="2"/>
        </w:numPr>
        <w:snapToGrid w:val="0"/>
        <w:spacing w:line="480" w:lineRule="atLeast"/>
        <w:rPr>
          <w:rFonts w:hint="eastAsia"/>
          <w:color w:val="auto"/>
          <w:sz w:val="24"/>
          <w:highlight w:val="none"/>
        </w:rPr>
      </w:pPr>
      <w:r>
        <w:rPr>
          <w:rFonts w:hint="eastAsia"/>
          <w:color w:val="auto"/>
          <w:sz w:val="24"/>
          <w:highlight w:val="none"/>
        </w:rPr>
        <w:t>输出端设置限流电抗器</w:t>
      </w:r>
      <w:r>
        <w:rPr>
          <w:color w:val="auto"/>
          <w:sz w:val="24"/>
          <w:highlight w:val="none"/>
        </w:rPr>
        <w:t>75</w:t>
      </w:r>
      <w:r>
        <w:rPr>
          <w:rFonts w:hint="eastAsia"/>
          <w:color w:val="auto"/>
          <w:sz w:val="24"/>
          <w:highlight w:val="none"/>
        </w:rPr>
        <w:t>uH/100A，要求2</w:t>
      </w:r>
      <w:r>
        <w:rPr>
          <w:color w:val="auto"/>
          <w:sz w:val="24"/>
          <w:highlight w:val="none"/>
        </w:rPr>
        <w:t>5</w:t>
      </w:r>
      <w:r>
        <w:rPr>
          <w:rFonts w:hint="eastAsia"/>
          <w:color w:val="auto"/>
          <w:sz w:val="24"/>
          <w:highlight w:val="none"/>
        </w:rPr>
        <w:t>0A不饱和，电抗器瞬态耐压大于2800V。电抗器并联二极管串电阻的续流装置。二极管反向耐压大于2800V；电阻要求无感电阻，小于1Ω，功率大于40W。</w:t>
      </w:r>
    </w:p>
    <w:p w14:paraId="60819299">
      <w:pPr>
        <w:numPr>
          <w:ilvl w:val="0"/>
          <w:numId w:val="2"/>
        </w:numPr>
        <w:snapToGrid w:val="0"/>
        <w:spacing w:line="480" w:lineRule="atLeast"/>
        <w:rPr>
          <w:rFonts w:hint="eastAsia"/>
          <w:color w:val="auto"/>
          <w:sz w:val="24"/>
          <w:highlight w:val="none"/>
        </w:rPr>
      </w:pPr>
      <w:r>
        <w:rPr>
          <w:rFonts w:hint="eastAsia"/>
          <w:color w:val="auto"/>
          <w:sz w:val="24"/>
          <w:highlight w:val="none"/>
        </w:rPr>
        <w:t>电压源模块的输出端反并联快恢复二极管，电压大于2800V，电流大于200A。二极管并联一10kΩ/700W电阻。</w:t>
      </w:r>
    </w:p>
    <w:p w14:paraId="4482851B">
      <w:pPr>
        <w:numPr>
          <w:ilvl w:val="0"/>
          <w:numId w:val="2"/>
        </w:numPr>
        <w:snapToGrid w:val="0"/>
        <w:spacing w:line="480" w:lineRule="atLeast"/>
        <w:rPr>
          <w:rFonts w:hint="eastAsia"/>
          <w:color w:val="auto"/>
          <w:sz w:val="24"/>
          <w:highlight w:val="none"/>
        </w:rPr>
      </w:pPr>
      <w:r>
        <w:rPr>
          <w:rFonts w:hint="eastAsia"/>
          <w:color w:val="auto"/>
          <w:sz w:val="24"/>
          <w:highlight w:val="none"/>
        </w:rPr>
        <w:t>各半导体器件在运行过程中有较大的安全裕量，推荐 50％以上的安全裕量。</w:t>
      </w:r>
    </w:p>
    <w:p w14:paraId="44601898">
      <w:pPr>
        <w:numPr>
          <w:ilvl w:val="0"/>
          <w:numId w:val="2"/>
        </w:numPr>
        <w:snapToGrid w:val="0"/>
        <w:spacing w:line="480" w:lineRule="atLeast"/>
        <w:rPr>
          <w:rFonts w:hint="eastAsia"/>
          <w:color w:val="auto"/>
          <w:sz w:val="24"/>
          <w:highlight w:val="none"/>
        </w:rPr>
      </w:pPr>
      <w:r>
        <w:rPr>
          <w:rFonts w:hint="eastAsia"/>
          <w:color w:val="auto"/>
          <w:sz w:val="24"/>
          <w:highlight w:val="none"/>
        </w:rPr>
        <w:t>电压源模块要有短路保护措施，当开关IGBT失效时，强制该模块输出为零。</w:t>
      </w:r>
    </w:p>
    <w:p w14:paraId="42A3F196">
      <w:pPr>
        <w:numPr>
          <w:ilvl w:val="0"/>
          <w:numId w:val="2"/>
        </w:numPr>
        <w:snapToGrid w:val="0"/>
        <w:spacing w:line="480" w:lineRule="atLeast"/>
        <w:rPr>
          <w:rFonts w:hint="eastAsia"/>
          <w:color w:val="auto"/>
          <w:sz w:val="24"/>
          <w:highlight w:val="none"/>
        </w:rPr>
      </w:pPr>
      <w:r>
        <w:rPr>
          <w:rFonts w:hint="eastAsia"/>
          <w:color w:val="auto"/>
          <w:sz w:val="24"/>
          <w:highlight w:val="none"/>
        </w:rPr>
        <w:t>使用氧化锌压敏电阻，采用高压片。具体位置如下：三相输入端、整流输出端和模块输出端，1800V/1mA。IGBT的C、E端并联压敏电阻。</w:t>
      </w:r>
    </w:p>
    <w:p w14:paraId="1BF3CA61">
      <w:pPr>
        <w:numPr>
          <w:ilvl w:val="0"/>
          <w:numId w:val="2"/>
        </w:numPr>
        <w:snapToGrid w:val="0"/>
        <w:spacing w:line="480" w:lineRule="atLeast"/>
        <w:rPr>
          <w:rFonts w:hint="eastAsia"/>
          <w:color w:val="auto"/>
          <w:sz w:val="24"/>
          <w:highlight w:val="none"/>
        </w:rPr>
      </w:pPr>
      <w:r>
        <w:rPr>
          <w:rFonts w:hint="eastAsia"/>
          <w:color w:val="auto"/>
          <w:sz w:val="24"/>
          <w:highlight w:val="none"/>
        </w:rPr>
        <w:t>电压源模块的电压输出在纯电阻负载下上升时间是30～40us。</w:t>
      </w:r>
    </w:p>
    <w:p w14:paraId="14FB6BED">
      <w:pPr>
        <w:numPr>
          <w:ilvl w:val="0"/>
          <w:numId w:val="2"/>
        </w:numPr>
        <w:snapToGrid w:val="0"/>
        <w:spacing w:line="480" w:lineRule="atLeast"/>
        <w:rPr>
          <w:rFonts w:hint="eastAsia"/>
          <w:color w:val="auto"/>
          <w:sz w:val="24"/>
          <w:highlight w:val="none"/>
        </w:rPr>
      </w:pPr>
      <w:r>
        <w:rPr>
          <w:rFonts w:hint="eastAsia"/>
          <w:color w:val="auto"/>
          <w:sz w:val="24"/>
          <w:highlight w:val="none"/>
        </w:rPr>
        <w:t>当负载短路时要求电压源模块在6us内输出电压为零，包括IGBT故障情况。</w:t>
      </w:r>
    </w:p>
    <w:p w14:paraId="6E677EF7">
      <w:pPr>
        <w:numPr>
          <w:ilvl w:val="0"/>
          <w:numId w:val="2"/>
        </w:numPr>
        <w:snapToGrid w:val="0"/>
        <w:spacing w:line="480" w:lineRule="atLeast"/>
        <w:rPr>
          <w:rFonts w:hint="eastAsia"/>
          <w:color w:val="auto"/>
          <w:sz w:val="24"/>
          <w:highlight w:val="none"/>
        </w:rPr>
      </w:pPr>
      <w:r>
        <w:rPr>
          <w:rFonts w:hint="eastAsia"/>
          <w:color w:val="auto"/>
          <w:sz w:val="24"/>
          <w:highlight w:val="none"/>
        </w:rPr>
        <w:t>要求电压源模块具有过流、过压、欠压、过温、真空接触器状态等故障检测功能。</w:t>
      </w:r>
    </w:p>
    <w:p w14:paraId="20586F0F">
      <w:pPr>
        <w:numPr>
          <w:ilvl w:val="0"/>
          <w:numId w:val="2"/>
        </w:numPr>
        <w:snapToGrid w:val="0"/>
        <w:spacing w:line="480" w:lineRule="atLeast"/>
        <w:rPr>
          <w:rFonts w:hint="eastAsia"/>
          <w:color w:val="auto"/>
          <w:sz w:val="24"/>
          <w:highlight w:val="none"/>
        </w:rPr>
      </w:pPr>
      <w:r>
        <w:rPr>
          <w:rFonts w:hint="eastAsia"/>
          <w:color w:val="auto"/>
          <w:sz w:val="24"/>
          <w:highlight w:val="none"/>
        </w:rPr>
        <w:t>要求利用霍尔传感器测量整流侧端电压，电源模块输出电压，电源模块输出电流。电流霍尔传感器的反应时间小于1us，精度高于1A。</w:t>
      </w:r>
    </w:p>
    <w:p w14:paraId="7AD57398">
      <w:pPr>
        <w:numPr>
          <w:ilvl w:val="0"/>
          <w:numId w:val="2"/>
        </w:numPr>
        <w:snapToGrid w:val="0"/>
        <w:spacing w:line="480" w:lineRule="atLeast"/>
        <w:rPr>
          <w:rFonts w:hint="eastAsia"/>
          <w:color w:val="auto"/>
          <w:sz w:val="24"/>
          <w:highlight w:val="none"/>
        </w:rPr>
      </w:pPr>
      <w:r>
        <w:rPr>
          <w:rFonts w:hint="eastAsia"/>
          <w:color w:val="auto"/>
          <w:sz w:val="24"/>
          <w:highlight w:val="none"/>
        </w:rPr>
        <w:t>整流输出侧串联直流快熔125A/1500V，3相输入端串2个交流熔断器100A/1000Vac，熔断器有节点信号输出。</w:t>
      </w:r>
    </w:p>
    <w:p w14:paraId="12C24BA6">
      <w:pPr>
        <w:numPr>
          <w:ilvl w:val="0"/>
          <w:numId w:val="2"/>
        </w:numPr>
        <w:snapToGrid w:val="0"/>
        <w:spacing w:line="480" w:lineRule="atLeast"/>
        <w:rPr>
          <w:rFonts w:hint="eastAsia"/>
          <w:color w:val="auto"/>
          <w:sz w:val="24"/>
          <w:highlight w:val="none"/>
        </w:rPr>
      </w:pPr>
      <w:r>
        <w:rPr>
          <w:rFonts w:hint="eastAsia"/>
          <w:color w:val="auto"/>
          <w:sz w:val="24"/>
          <w:highlight w:val="none"/>
        </w:rPr>
        <w:t>500VA的降压变压器，电压900V/220V，输入端接在真空接触器的进线端。为控制器电源、接触器、继电器和风扇供电。变压器原边串熔丝。</w:t>
      </w:r>
    </w:p>
    <w:p w14:paraId="5A316FF5">
      <w:pPr>
        <w:snapToGrid w:val="0"/>
        <w:spacing w:line="480" w:lineRule="atLeast"/>
        <w:rPr>
          <w:rFonts w:hint="eastAsia"/>
          <w:b/>
          <w:color w:val="auto"/>
          <w:sz w:val="24"/>
          <w:highlight w:val="none"/>
        </w:rPr>
      </w:pPr>
      <w:r>
        <w:rPr>
          <w:rFonts w:hint="eastAsia"/>
          <w:b/>
          <w:color w:val="auto"/>
          <w:sz w:val="24"/>
          <w:highlight w:val="none"/>
        </w:rPr>
        <w:t>监控回路</w:t>
      </w:r>
    </w:p>
    <w:p w14:paraId="57B5747B">
      <w:pPr>
        <w:numPr>
          <w:ilvl w:val="0"/>
          <w:numId w:val="2"/>
        </w:numPr>
        <w:snapToGrid w:val="0"/>
        <w:spacing w:line="480" w:lineRule="atLeast"/>
        <w:rPr>
          <w:rFonts w:hint="eastAsia"/>
          <w:color w:val="auto"/>
          <w:sz w:val="24"/>
          <w:highlight w:val="none"/>
        </w:rPr>
      </w:pPr>
      <w:r>
        <w:rPr>
          <w:rFonts w:hint="eastAsia"/>
          <w:color w:val="auto"/>
          <w:sz w:val="24"/>
          <w:highlight w:val="none"/>
        </w:rPr>
        <w:t>控制器的电源由电压源模块的输入端900V提供，推荐采用线性电源。在电源模块开始通电之后，控制电源电压才开始建立。在控制器的各路电压源建立之前，禁止控制器有任何的输出控制信号，包括触发IGBT、合真空接触器等动作。控制器上的比较器在电压源未完全建立之前不能有故障信号输出。</w:t>
      </w:r>
    </w:p>
    <w:p w14:paraId="463F21D4">
      <w:pPr>
        <w:numPr>
          <w:ilvl w:val="0"/>
          <w:numId w:val="2"/>
        </w:numPr>
        <w:snapToGrid w:val="0"/>
        <w:spacing w:line="480" w:lineRule="atLeast"/>
        <w:rPr>
          <w:rFonts w:hint="eastAsia"/>
          <w:color w:val="auto"/>
          <w:sz w:val="24"/>
          <w:highlight w:val="none"/>
        </w:rPr>
      </w:pPr>
      <w:r>
        <w:rPr>
          <w:rFonts w:hint="eastAsia"/>
          <w:color w:val="auto"/>
          <w:sz w:val="24"/>
          <w:highlight w:val="none"/>
        </w:rPr>
        <w:t>控制器上有4个电源参考地，每个参考地之间的隔离电压大于1800V。4个电源参考地分别如下：控制板采用一个电源参考地。电压、电流霍尔传感器、熔丝、温度节点信号、继电器的控制电源共用一个电源参考地。IGBT门极驱动1个电源参考地。不同地之间的电气信号连接推荐用高速光耦隔离。</w:t>
      </w:r>
    </w:p>
    <w:p w14:paraId="2EE41C2F">
      <w:pPr>
        <w:numPr>
          <w:ilvl w:val="0"/>
          <w:numId w:val="2"/>
        </w:numPr>
        <w:snapToGrid w:val="0"/>
        <w:spacing w:line="480" w:lineRule="atLeast"/>
        <w:rPr>
          <w:rFonts w:hint="eastAsia"/>
          <w:color w:val="auto"/>
          <w:sz w:val="24"/>
          <w:highlight w:val="none"/>
        </w:rPr>
      </w:pPr>
      <w:r>
        <w:rPr>
          <w:rFonts w:hint="eastAsia"/>
          <w:color w:val="auto"/>
          <w:sz w:val="24"/>
          <w:highlight w:val="none"/>
        </w:rPr>
        <w:t>控制器的光电隔离要求：控制板及光纤接口共用一个电源参考地，这个电源参考地与其它电源参考地的信号的联系全部通过快速光耦进行光电转换，模拟量利用线性光耦转换。控制器驱动IGBT门极的信号采用光纤转换器连接；电压、电流比较器输出信号也通过快速光耦转换输入到控制电路。电源模块的电流、电压信号通过线性光耦输入到控制板中，用于模块内部控制板的逻辑控制及保护。</w:t>
      </w:r>
    </w:p>
    <w:p w14:paraId="3DDB5071">
      <w:pPr>
        <w:numPr>
          <w:ilvl w:val="0"/>
          <w:numId w:val="2"/>
        </w:numPr>
        <w:snapToGrid w:val="0"/>
        <w:spacing w:line="480" w:lineRule="atLeast"/>
        <w:rPr>
          <w:rFonts w:hint="eastAsia"/>
          <w:color w:val="auto"/>
          <w:sz w:val="24"/>
          <w:highlight w:val="none"/>
        </w:rPr>
      </w:pPr>
      <w:r>
        <w:rPr>
          <w:rFonts w:hint="eastAsia"/>
          <w:color w:val="auto"/>
          <w:sz w:val="24"/>
          <w:highlight w:val="none"/>
        </w:rPr>
        <w:t>光纤接口：主控计算机与模块的IGBT控制信号接口。控制板上IGBT驱动电路与控制电路的光纤转换接口。电源内部综合故障光信号输出接口。</w:t>
      </w:r>
    </w:p>
    <w:p w14:paraId="7DB0A889">
      <w:pPr>
        <w:numPr>
          <w:ilvl w:val="0"/>
          <w:numId w:val="2"/>
        </w:numPr>
        <w:snapToGrid w:val="0"/>
        <w:spacing w:line="480" w:lineRule="atLeast"/>
        <w:rPr>
          <w:rFonts w:hint="eastAsia"/>
          <w:color w:val="auto"/>
          <w:sz w:val="24"/>
          <w:highlight w:val="none"/>
        </w:rPr>
      </w:pPr>
      <w:r>
        <w:rPr>
          <w:rFonts w:hint="eastAsia"/>
          <w:color w:val="auto"/>
          <w:sz w:val="24"/>
          <w:highlight w:val="none"/>
        </w:rPr>
        <w:t>主控计算机的光纤控制信号要求直接转换后通过分立元件连接到IGBT门极。不通过控制器芯片转换。控制器芯片可以发出控制信号来封锁IGBT门极信号。主控计算机发送过来的开关IGBT断信号要在最短时间能触发IGBT，信号从控制板的光纤接收端到IGBT的门极的时间要求在1.4uS以内。</w:t>
      </w:r>
    </w:p>
    <w:p w14:paraId="47D6F8F5">
      <w:pPr>
        <w:numPr>
          <w:ilvl w:val="0"/>
          <w:numId w:val="2"/>
        </w:numPr>
        <w:snapToGrid w:val="0"/>
        <w:spacing w:line="480" w:lineRule="atLeast"/>
        <w:rPr>
          <w:rFonts w:hint="eastAsia"/>
          <w:color w:val="auto"/>
          <w:sz w:val="24"/>
          <w:highlight w:val="none"/>
        </w:rPr>
      </w:pPr>
      <w:r>
        <w:rPr>
          <w:rFonts w:hint="eastAsia"/>
          <w:color w:val="auto"/>
          <w:sz w:val="24"/>
          <w:highlight w:val="none"/>
        </w:rPr>
        <w:t>整流侧输出端的电压传感器V1提供过压或欠压比较信号。低于770V就是欠压，高于1570V就是过压。过压、欠压时都封锁模块运行，断开CKJ。电流传感器A1提供过流比较信号，超过1</w:t>
      </w:r>
      <w:r>
        <w:rPr>
          <w:color w:val="auto"/>
          <w:sz w:val="24"/>
          <w:highlight w:val="none"/>
        </w:rPr>
        <w:t>8</w:t>
      </w:r>
      <w:r>
        <w:rPr>
          <w:rFonts w:hint="eastAsia"/>
          <w:color w:val="auto"/>
          <w:sz w:val="24"/>
          <w:highlight w:val="none"/>
        </w:rPr>
        <w:t>0A就是过流，控制器立即关断IGBT。超过</w:t>
      </w:r>
      <w:r>
        <w:rPr>
          <w:color w:val="auto"/>
          <w:sz w:val="24"/>
          <w:highlight w:val="none"/>
        </w:rPr>
        <w:t>25</w:t>
      </w:r>
      <w:r>
        <w:rPr>
          <w:rFonts w:hint="eastAsia"/>
          <w:color w:val="auto"/>
          <w:sz w:val="24"/>
          <w:highlight w:val="none"/>
        </w:rPr>
        <w:t>0A关断并封锁IGBT，断开CKJ。</w:t>
      </w:r>
    </w:p>
    <w:p w14:paraId="144D5FBA">
      <w:pPr>
        <w:numPr>
          <w:ilvl w:val="0"/>
          <w:numId w:val="2"/>
        </w:numPr>
        <w:snapToGrid w:val="0"/>
        <w:spacing w:line="480" w:lineRule="atLeast"/>
        <w:rPr>
          <w:rFonts w:hint="eastAsia"/>
          <w:color w:val="auto"/>
          <w:sz w:val="24"/>
          <w:highlight w:val="none"/>
        </w:rPr>
      </w:pPr>
      <w:r>
        <w:rPr>
          <w:rFonts w:hint="eastAsia"/>
          <w:color w:val="auto"/>
          <w:sz w:val="24"/>
          <w:highlight w:val="none"/>
        </w:rPr>
        <w:t>正常情况下，IGBT通断信号由总控通过光纤给出，当总控发出开IGBT信号时，控制板接收到低电平；当总控发出关IGBT信号时，智能控制板接收到高电平。当熔丝断、过热、风扇停转，上述情况有一存在时，应立即关断IGBT，分开CKJ。</w:t>
      </w:r>
    </w:p>
    <w:p w14:paraId="26963926">
      <w:pPr>
        <w:numPr>
          <w:ilvl w:val="0"/>
          <w:numId w:val="2"/>
        </w:numPr>
        <w:spacing w:line="360" w:lineRule="auto"/>
        <w:rPr>
          <w:rFonts w:hint="eastAsia"/>
          <w:color w:val="auto"/>
          <w:highlight w:val="none"/>
        </w:rPr>
      </w:pPr>
      <w:r>
        <w:rPr>
          <w:rFonts w:hint="eastAsia"/>
          <w:color w:val="auto"/>
          <w:sz w:val="24"/>
          <w:highlight w:val="none"/>
        </w:rPr>
        <w:t>考虑模块输出端的续流二极管反向击穿时的故障判断和保护电路设计，如果该二极管反向击穿，则封锁IGBT，分CKJ。把故障信号上传至监控平台。</w:t>
      </w:r>
    </w:p>
    <w:p w14:paraId="1B87162F">
      <w:pPr>
        <w:numPr>
          <w:ilvl w:val="0"/>
          <w:numId w:val="2"/>
        </w:numPr>
        <w:spacing w:line="360" w:lineRule="auto"/>
        <w:rPr>
          <w:rFonts w:hint="eastAsia"/>
          <w:color w:val="auto"/>
          <w:highlight w:val="none"/>
        </w:rPr>
      </w:pPr>
      <w:r>
        <w:rPr>
          <w:rFonts w:hint="eastAsia"/>
          <w:color w:val="auto"/>
          <w:sz w:val="24"/>
          <w:highlight w:val="none"/>
        </w:rPr>
        <w:t>电源模块的其它故障电路的设计和保护在不影响上述规定时，乙方自行考虑设计，并通知甲方。</w:t>
      </w:r>
    </w:p>
    <w:p w14:paraId="1FFF3F29">
      <w:pPr>
        <w:adjustRightInd w:val="0"/>
        <w:snapToGrid w:val="0"/>
        <w:spacing w:before="120" w:beforeLines="50" w:line="360" w:lineRule="auto"/>
        <w:rPr>
          <w:b/>
          <w:color w:val="auto"/>
          <w:sz w:val="24"/>
          <w:highlight w:val="none"/>
        </w:rPr>
      </w:pPr>
      <w:r>
        <w:rPr>
          <w:b/>
          <w:color w:val="auto"/>
          <w:sz w:val="24"/>
          <w:highlight w:val="none"/>
        </w:rPr>
        <w:t>2.5</w:t>
      </w:r>
      <w:r>
        <w:rPr>
          <w:rFonts w:hint="eastAsia"/>
          <w:b/>
          <w:color w:val="auto"/>
          <w:sz w:val="24"/>
          <w:highlight w:val="none"/>
        </w:rPr>
        <w:t>、</w:t>
      </w:r>
      <w:r>
        <w:rPr>
          <w:b/>
          <w:color w:val="auto"/>
          <w:sz w:val="24"/>
          <w:highlight w:val="none"/>
        </w:rPr>
        <w:t xml:space="preserve"> 技术服务要求及质保要求</w:t>
      </w:r>
    </w:p>
    <w:p w14:paraId="08A879A0">
      <w:pPr>
        <w:adjustRightInd w:val="0"/>
        <w:snapToGrid w:val="0"/>
        <w:spacing w:before="120" w:beforeLines="50" w:line="360" w:lineRule="auto"/>
        <w:rPr>
          <w:rFonts w:hint="eastAsia"/>
          <w:color w:val="auto"/>
          <w:sz w:val="24"/>
          <w:highlight w:val="none"/>
        </w:rPr>
      </w:pPr>
      <w:r>
        <w:rPr>
          <w:rFonts w:hint="eastAsia"/>
          <w:color w:val="auto"/>
          <w:szCs w:val="21"/>
          <w:highlight w:val="none"/>
        </w:rPr>
        <w:t xml:space="preserve"> </w:t>
      </w:r>
      <w:r>
        <w:rPr>
          <w:color w:val="auto"/>
          <w:szCs w:val="21"/>
          <w:highlight w:val="none"/>
        </w:rPr>
        <w:t xml:space="preserve"> </w:t>
      </w:r>
      <w:r>
        <w:rPr>
          <w:rFonts w:hint="eastAsia"/>
          <w:color w:val="auto"/>
          <w:sz w:val="24"/>
          <w:highlight w:val="none"/>
        </w:rPr>
        <w:t xml:space="preserve">  质保要求12月以上，需要乙方现场配合调试。</w:t>
      </w:r>
    </w:p>
    <w:p w14:paraId="74776FAA">
      <w:pPr>
        <w:adjustRightInd w:val="0"/>
        <w:snapToGrid w:val="0"/>
        <w:spacing w:before="120" w:beforeLines="50" w:line="360" w:lineRule="auto"/>
        <w:rPr>
          <w:rFonts w:hint="eastAsia"/>
          <w:b/>
          <w:color w:val="auto"/>
          <w:sz w:val="24"/>
          <w:highlight w:val="none"/>
        </w:rPr>
      </w:pPr>
      <w:r>
        <w:rPr>
          <w:b/>
          <w:color w:val="auto"/>
          <w:sz w:val="24"/>
          <w:highlight w:val="none"/>
        </w:rPr>
        <w:t>2.6</w:t>
      </w:r>
      <w:r>
        <w:rPr>
          <w:rFonts w:hint="eastAsia"/>
          <w:b/>
          <w:color w:val="auto"/>
          <w:sz w:val="24"/>
          <w:highlight w:val="none"/>
        </w:rPr>
        <w:t>、</w:t>
      </w:r>
      <w:r>
        <w:rPr>
          <w:b/>
          <w:color w:val="auto"/>
          <w:sz w:val="24"/>
          <w:highlight w:val="none"/>
        </w:rPr>
        <w:t>验收标准及验收程序</w:t>
      </w:r>
      <w:r>
        <w:rPr>
          <w:b/>
          <w:color w:val="auto"/>
          <w:sz w:val="24"/>
          <w:highlight w:val="none"/>
        </w:rPr>
        <w:tab/>
      </w:r>
    </w:p>
    <w:p w14:paraId="699D3C98">
      <w:pPr>
        <w:adjustRightInd w:val="0"/>
        <w:snapToGrid w:val="0"/>
        <w:spacing w:before="120" w:beforeLines="50" w:line="360" w:lineRule="auto"/>
        <w:rPr>
          <w:rFonts w:hint="eastAsia"/>
          <w:color w:val="auto"/>
          <w:sz w:val="24"/>
          <w:highlight w:val="none"/>
        </w:rPr>
      </w:pPr>
      <w:r>
        <w:rPr>
          <w:rFonts w:hint="eastAsia"/>
          <w:b/>
          <w:color w:val="auto"/>
          <w:sz w:val="24"/>
          <w:highlight w:val="none"/>
        </w:rPr>
        <w:t xml:space="preserve"> </w:t>
      </w:r>
      <w:r>
        <w:rPr>
          <w:b/>
          <w:color w:val="auto"/>
          <w:sz w:val="24"/>
          <w:highlight w:val="none"/>
        </w:rPr>
        <w:t xml:space="preserve"> </w:t>
      </w:r>
      <w:r>
        <w:rPr>
          <w:rFonts w:hint="eastAsia"/>
          <w:color w:val="auto"/>
          <w:sz w:val="24"/>
          <w:highlight w:val="none"/>
        </w:rPr>
        <w:t xml:space="preserve"> 电源系统联合调试，将电源模块作为电源的一部分，实现额定输出，并稳定运行。</w:t>
      </w:r>
    </w:p>
    <w:p w14:paraId="2C21F90D">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9262AD"/>
    <w:multiLevelType w:val="multilevel"/>
    <w:tmpl w:val="2E9262A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7B564D4"/>
    <w:multiLevelType w:val="singleLevel"/>
    <w:tmpl w:val="67B564D4"/>
    <w:lvl w:ilvl="0" w:tentative="0">
      <w:start w:val="1"/>
      <w:numFmt w:val="decimal"/>
      <w:lvlText w:val="%1)"/>
      <w:lvlJc w:val="left"/>
      <w:pPr>
        <w:tabs>
          <w:tab w:val="left" w:pos="780"/>
        </w:tabs>
        <w:ind w:left="780" w:hanging="42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1F3860"/>
    <w:rsid w:val="101F38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beforeLines="0" w:after="330" w:afterLines="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eastAsia="黑体"/>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2026-04-23T06:25:00Z</dcterms:created>
  <dc:creator>宋方方</dc:creator>
  <cp:lastModifiedBy>宋方方</cp:lastModifiedBy>
  <dcterms:modified xsi:type="dcterms:W3CDTF">2026-04-23T06:25:15Z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EA39F716142F4858A240C794113D4ECB_11</vt:lpwstr>
  </property>
  <property fmtid="{D5CDD505-2E9C-101B-9397-08002B2CF9AE}" pid="4" name="KSOTemplateDocerSaveRecord">
    <vt:lpwstr>eyJoZGlkIjoiY2ZjZDI4YmRkZDY3MGZmNjNjY2JiZTFlYmI4OWM0ZWEiLCJ1c2VySWQiOiIxNzYzODEyODI4In0=</vt:lpwstr>
  </property>
</Properties>
</file>