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3E46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采购需求及技术规格要求</w:t>
      </w:r>
    </w:p>
    <w:p w14:paraId="601F1333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1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货物需求一览表</w:t>
      </w:r>
    </w:p>
    <w:tbl>
      <w:tblPr>
        <w:tblStyle w:val="3"/>
        <w:tblW w:w="6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005"/>
        <w:gridCol w:w="915"/>
      </w:tblGrid>
      <w:tr w14:paraId="6F6E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noWrap w:val="0"/>
            <w:vAlign w:val="center"/>
          </w:tcPr>
          <w:p w14:paraId="6FA766B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5005" w:type="dxa"/>
            <w:noWrap w:val="0"/>
            <w:vAlign w:val="center"/>
          </w:tcPr>
          <w:p w14:paraId="113A8A5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货物名称</w:t>
            </w:r>
          </w:p>
        </w:tc>
        <w:tc>
          <w:tcPr>
            <w:tcW w:w="915" w:type="dxa"/>
            <w:noWrap w:val="0"/>
            <w:vAlign w:val="center"/>
          </w:tcPr>
          <w:p w14:paraId="20BA72D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数量</w:t>
            </w:r>
          </w:p>
        </w:tc>
      </w:tr>
      <w:tr w14:paraId="0824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76" w:type="dxa"/>
            <w:noWrap w:val="0"/>
            <w:vAlign w:val="center"/>
          </w:tcPr>
          <w:p w14:paraId="1B7E79C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5005" w:type="dxa"/>
            <w:noWrap w:val="0"/>
            <w:vAlign w:val="center"/>
          </w:tcPr>
          <w:p w14:paraId="161B07F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EAST上偏滤器靶板单元（内靶板钨串）</w:t>
            </w:r>
          </w:p>
          <w:p w14:paraId="082FECF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（含相应的焊接与检测）</w:t>
            </w:r>
          </w:p>
        </w:tc>
        <w:tc>
          <w:tcPr>
            <w:tcW w:w="915" w:type="dxa"/>
            <w:noWrap w:val="0"/>
            <w:vAlign w:val="center"/>
          </w:tcPr>
          <w:p w14:paraId="161DB5D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24套</w:t>
            </w:r>
          </w:p>
        </w:tc>
      </w:tr>
      <w:tr w14:paraId="54BD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76" w:type="dxa"/>
            <w:noWrap w:val="0"/>
            <w:vAlign w:val="center"/>
          </w:tcPr>
          <w:p w14:paraId="33AFBA4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5005" w:type="dxa"/>
            <w:noWrap w:val="0"/>
            <w:vAlign w:val="center"/>
          </w:tcPr>
          <w:p w14:paraId="3AC4281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EAST上偏滤器靶板单元（外靶板钨串）</w:t>
            </w:r>
          </w:p>
          <w:p w14:paraId="1A53DB3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（含相应的焊接与检测）</w:t>
            </w:r>
          </w:p>
        </w:tc>
        <w:tc>
          <w:tcPr>
            <w:tcW w:w="915" w:type="dxa"/>
            <w:noWrap w:val="0"/>
            <w:vAlign w:val="center"/>
          </w:tcPr>
          <w:p w14:paraId="38FA5AB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32套</w:t>
            </w:r>
          </w:p>
        </w:tc>
      </w:tr>
    </w:tbl>
    <w:p w14:paraId="231182EE">
      <w:pPr>
        <w:adjustRightInd w:val="0"/>
        <w:snapToGrid w:val="0"/>
        <w:spacing w:before="120" w:beforeLines="50" w:line="360" w:lineRule="auto"/>
        <w:ind w:firstLine="480" w:firstLineChars="200"/>
        <w:rPr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EAST</w:t>
      </w:r>
      <w:r>
        <w:rPr>
          <w:rFonts w:hint="eastAsia"/>
          <w:bCs/>
          <w:color w:val="auto"/>
          <w:sz w:val="24"/>
          <w:highlight w:val="none"/>
        </w:rPr>
        <w:t>上</w:t>
      </w:r>
      <w:r>
        <w:rPr>
          <w:bCs/>
          <w:color w:val="auto"/>
          <w:sz w:val="24"/>
          <w:highlight w:val="none"/>
        </w:rPr>
        <w:t>偏滤器</w:t>
      </w:r>
      <w:r>
        <w:rPr>
          <w:rFonts w:hint="eastAsia"/>
          <w:bCs/>
          <w:color w:val="auto"/>
          <w:sz w:val="24"/>
          <w:highlight w:val="none"/>
        </w:rPr>
        <w:t>靶板单元（内靶板钨串）结构</w:t>
      </w:r>
      <w:r>
        <w:rPr>
          <w:bCs/>
          <w:color w:val="auto"/>
          <w:sz w:val="24"/>
          <w:highlight w:val="none"/>
        </w:rPr>
        <w:t>如图</w:t>
      </w:r>
      <w:r>
        <w:rPr>
          <w:rFonts w:hint="eastAsia"/>
          <w:bCs/>
          <w:color w:val="auto"/>
          <w:sz w:val="24"/>
          <w:highlight w:val="none"/>
        </w:rPr>
        <w:t>1</w:t>
      </w:r>
      <w:r>
        <w:rPr>
          <w:bCs/>
          <w:color w:val="auto"/>
          <w:sz w:val="24"/>
          <w:highlight w:val="none"/>
        </w:rPr>
        <w:t>所示</w:t>
      </w:r>
      <w:r>
        <w:rPr>
          <w:rFonts w:hint="eastAsia"/>
          <w:bCs/>
          <w:color w:val="auto"/>
          <w:sz w:val="24"/>
          <w:highlight w:val="none"/>
        </w:rPr>
        <w:t>，</w:t>
      </w:r>
      <w:r>
        <w:rPr>
          <w:bCs/>
          <w:color w:val="auto"/>
          <w:sz w:val="24"/>
          <w:highlight w:val="none"/>
        </w:rPr>
        <w:t>EAST</w:t>
      </w:r>
      <w:r>
        <w:rPr>
          <w:rFonts w:hint="eastAsia"/>
          <w:bCs/>
          <w:color w:val="auto"/>
          <w:sz w:val="24"/>
          <w:highlight w:val="none"/>
        </w:rPr>
        <w:t>上</w:t>
      </w:r>
      <w:r>
        <w:rPr>
          <w:bCs/>
          <w:color w:val="auto"/>
          <w:sz w:val="24"/>
          <w:highlight w:val="none"/>
        </w:rPr>
        <w:t>偏滤器</w:t>
      </w:r>
      <w:r>
        <w:rPr>
          <w:rFonts w:hint="eastAsia"/>
          <w:bCs/>
          <w:color w:val="auto"/>
          <w:sz w:val="24"/>
          <w:highlight w:val="none"/>
        </w:rPr>
        <w:t>靶板单元（外靶板钨串）</w:t>
      </w:r>
      <w:r>
        <w:rPr>
          <w:bCs/>
          <w:color w:val="auto"/>
          <w:sz w:val="24"/>
          <w:highlight w:val="none"/>
        </w:rPr>
        <w:t>图</w:t>
      </w:r>
      <w:r>
        <w:rPr>
          <w:rFonts w:hint="eastAsia"/>
          <w:bCs/>
          <w:color w:val="auto"/>
          <w:sz w:val="24"/>
          <w:highlight w:val="none"/>
        </w:rPr>
        <w:t>2所示，其中1、3为端头水盒，；2为</w:t>
      </w:r>
      <w:r>
        <w:rPr>
          <w:bCs/>
          <w:color w:val="auto"/>
          <w:sz w:val="24"/>
          <w:highlight w:val="none"/>
        </w:rPr>
        <w:t>不锈钢</w:t>
      </w:r>
      <w:r>
        <w:rPr>
          <w:rFonts w:hint="eastAsia"/>
          <w:bCs/>
          <w:color w:val="auto"/>
          <w:sz w:val="24"/>
          <w:highlight w:val="none"/>
        </w:rPr>
        <w:t>水盒；4、5为钨铜串</w:t>
      </w:r>
      <w:r>
        <w:rPr>
          <w:bCs/>
          <w:color w:val="auto"/>
          <w:sz w:val="24"/>
          <w:highlight w:val="none"/>
        </w:rPr>
        <w:t>。</w:t>
      </w:r>
    </w:p>
    <w:p w14:paraId="7D5BD289">
      <w:pPr>
        <w:adjustRightInd w:val="0"/>
        <w:snapToGrid w:val="0"/>
        <w:spacing w:before="120" w:beforeLines="50" w:line="360" w:lineRule="auto"/>
        <w:ind w:firstLine="480" w:firstLineChars="200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本次招标货物涉及到的所有原材料、加工、焊接、组装、检测、运输等费用，均由中标人承担，招标人不再承担其他任何费用。其中原材料的供应商采购前必须得到甲方认可和确认（注：甲方的认可和确认并不免除中标人应承担的责任和义务），供货时需提供相关采购合同证明及相关原材料检测报告。</w:t>
      </w:r>
    </w:p>
    <w:p w14:paraId="5B2819EE">
      <w:pPr>
        <w:adjustRightInd w:val="0"/>
        <w:snapToGrid w:val="0"/>
        <w:spacing w:before="120" w:beforeLines="50" w:line="360" w:lineRule="auto"/>
        <w:jc w:val="center"/>
        <w:rPr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drawing>
          <wp:inline distT="0" distB="0" distL="114300" distR="114300">
            <wp:extent cx="1522730" cy="2855595"/>
            <wp:effectExtent l="0" t="0" r="1270" b="9525"/>
            <wp:docPr id="1" name="图片 1" descr="61ff049d0669b71afd05336049e4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ff049d0669b71afd05336049e41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auto"/>
          <w:sz w:val="24"/>
          <w:highlight w:val="none"/>
        </w:rPr>
        <w:drawing>
          <wp:inline distT="0" distB="0" distL="114300" distR="114300">
            <wp:extent cx="3132455" cy="2861310"/>
            <wp:effectExtent l="0" t="0" r="6985" b="3810"/>
            <wp:docPr id="2" name="图片 2" descr="b6371d34732105da699681336e3cc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371d34732105da699681336e3cc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3305E">
      <w:pPr>
        <w:adjustRightInd w:val="0"/>
        <w:snapToGrid w:val="0"/>
        <w:spacing w:before="120" w:beforeLines="50" w:line="360" w:lineRule="auto"/>
        <w:ind w:firstLine="1200" w:firstLineChars="500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图1 内靶板结构图                 图2 外靶板结构图</w:t>
      </w:r>
    </w:p>
    <w:p w14:paraId="33081C83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</w:rPr>
      </w:pPr>
      <w:bookmarkStart w:id="0" w:name="_Toc12010788"/>
      <w:bookmarkStart w:id="1" w:name="_Toc30409514"/>
      <w:bookmarkStart w:id="2" w:name="_Toc257021215"/>
      <w:bookmarkStart w:id="3" w:name="_Toc532807472"/>
      <w:bookmarkStart w:id="4" w:name="_Toc509153917"/>
      <w:bookmarkStart w:id="5" w:name="_Toc12010815"/>
      <w:r>
        <w:rPr>
          <w:b/>
          <w:color w:val="auto"/>
          <w:sz w:val="24"/>
          <w:highlight w:val="none"/>
        </w:rPr>
        <w:t>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49D63A7D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1、</w:t>
      </w:r>
      <w:r>
        <w:rPr>
          <w:b/>
          <w:color w:val="auto"/>
          <w:sz w:val="24"/>
          <w:highlight w:val="none"/>
        </w:rPr>
        <w:t>设备的主要用途及功能</w:t>
      </w:r>
    </w:p>
    <w:p w14:paraId="39AF6CE4">
      <w:pPr>
        <w:adjustRightInd w:val="0"/>
        <w:snapToGrid w:val="0"/>
        <w:spacing w:before="120" w:beforeLines="50" w:line="360" w:lineRule="auto"/>
        <w:ind w:firstLine="480" w:firstLineChars="200"/>
        <w:rPr>
          <w:rFonts w:hint="eastAsia"/>
          <w:b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本次采购的为EAST上偏滤器靶板单元备件，</w:t>
      </w:r>
      <w:r>
        <w:rPr>
          <w:bCs/>
          <w:color w:val="auto"/>
          <w:sz w:val="24"/>
          <w:highlight w:val="none"/>
        </w:rPr>
        <w:t>包含</w:t>
      </w:r>
      <w:r>
        <w:rPr>
          <w:rFonts w:hint="eastAsia"/>
          <w:bCs/>
          <w:color w:val="auto"/>
          <w:sz w:val="24"/>
          <w:highlight w:val="none"/>
        </w:rPr>
        <w:t>内</w:t>
      </w:r>
      <w:r>
        <w:rPr>
          <w:bCs/>
          <w:color w:val="auto"/>
          <w:sz w:val="24"/>
          <w:highlight w:val="none"/>
        </w:rPr>
        <w:t>靶板</w:t>
      </w:r>
      <w:r>
        <w:rPr>
          <w:rFonts w:hint="eastAsia"/>
          <w:bCs/>
          <w:color w:val="auto"/>
          <w:sz w:val="24"/>
          <w:highlight w:val="none"/>
        </w:rPr>
        <w:t>钨串24</w:t>
      </w:r>
      <w:r>
        <w:rPr>
          <w:bCs/>
          <w:color w:val="auto"/>
          <w:sz w:val="24"/>
          <w:highlight w:val="none"/>
        </w:rPr>
        <w:t>套、</w:t>
      </w:r>
      <w:r>
        <w:rPr>
          <w:rFonts w:hint="eastAsia"/>
          <w:bCs/>
          <w:color w:val="auto"/>
          <w:sz w:val="24"/>
          <w:highlight w:val="none"/>
        </w:rPr>
        <w:t>外</w:t>
      </w:r>
      <w:r>
        <w:rPr>
          <w:bCs/>
          <w:color w:val="auto"/>
          <w:sz w:val="24"/>
          <w:highlight w:val="none"/>
        </w:rPr>
        <w:t>靶板</w:t>
      </w:r>
      <w:r>
        <w:rPr>
          <w:rFonts w:hint="eastAsia"/>
          <w:bCs/>
          <w:color w:val="auto"/>
          <w:sz w:val="24"/>
          <w:highlight w:val="none"/>
        </w:rPr>
        <w:t>钨串32</w:t>
      </w:r>
      <w:r>
        <w:rPr>
          <w:bCs/>
          <w:color w:val="auto"/>
          <w:sz w:val="24"/>
          <w:highlight w:val="none"/>
        </w:rPr>
        <w:t>套及相应的焊接与检测。</w:t>
      </w:r>
    </w:p>
    <w:p w14:paraId="69F940CC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 xml:space="preserve">2、 </w:t>
      </w:r>
      <w:r>
        <w:rPr>
          <w:b/>
          <w:color w:val="auto"/>
          <w:sz w:val="24"/>
          <w:highlight w:val="none"/>
        </w:rPr>
        <w:t>工作条件</w:t>
      </w:r>
    </w:p>
    <w:p w14:paraId="7CF4D7F4">
      <w:pPr>
        <w:adjustRightInd w:val="0"/>
        <w:snapToGrid w:val="0"/>
        <w:spacing w:before="120" w:beforeLines="50" w:line="360" w:lineRule="auto"/>
        <w:ind w:firstLine="480" w:firstLineChars="200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表面热流密度</w:t>
      </w:r>
      <w:r>
        <w:rPr>
          <w:bCs/>
          <w:color w:val="auto"/>
          <w:sz w:val="24"/>
          <w:highlight w:val="none"/>
        </w:rPr>
        <w:t>1</w:t>
      </w:r>
      <w:r>
        <w:rPr>
          <w:rFonts w:hint="eastAsia"/>
          <w:bCs/>
          <w:color w:val="auto"/>
          <w:sz w:val="24"/>
          <w:highlight w:val="none"/>
        </w:rPr>
        <w:t>5</w:t>
      </w:r>
      <w:r>
        <w:rPr>
          <w:bCs/>
          <w:color w:val="auto"/>
          <w:sz w:val="24"/>
          <w:highlight w:val="none"/>
        </w:rPr>
        <w:t>MW/m</w:t>
      </w:r>
      <w:r>
        <w:rPr>
          <w:bCs/>
          <w:color w:val="auto"/>
          <w:sz w:val="24"/>
          <w:highlight w:val="none"/>
          <w:vertAlign w:val="superscript"/>
        </w:rPr>
        <w:t>2</w:t>
      </w:r>
      <w:r>
        <w:rPr>
          <w:rFonts w:hint="eastAsia"/>
          <w:bCs/>
          <w:color w:val="auto"/>
          <w:sz w:val="24"/>
          <w:highlight w:val="none"/>
        </w:rPr>
        <w:t>、内部3</w:t>
      </w:r>
      <w:r>
        <w:rPr>
          <w:bCs/>
          <w:color w:val="auto"/>
          <w:sz w:val="24"/>
          <w:highlight w:val="none"/>
        </w:rPr>
        <w:t>MPa</w:t>
      </w:r>
      <w:r>
        <w:rPr>
          <w:rFonts w:hint="eastAsia"/>
          <w:bCs/>
          <w:color w:val="auto"/>
          <w:sz w:val="24"/>
          <w:highlight w:val="none"/>
        </w:rPr>
        <w:t>的工作压力</w:t>
      </w:r>
      <w:r>
        <w:rPr>
          <w:bCs/>
          <w:color w:val="auto"/>
          <w:sz w:val="24"/>
          <w:highlight w:val="none"/>
        </w:rPr>
        <w:t>。</w:t>
      </w:r>
    </w:p>
    <w:p w14:paraId="7C127FDF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3、</w:t>
      </w:r>
      <w:r>
        <w:rPr>
          <w:b/>
          <w:color w:val="auto"/>
          <w:sz w:val="24"/>
          <w:highlight w:val="none"/>
        </w:rPr>
        <w:t xml:space="preserve"> 技术性能指标要求</w:t>
      </w:r>
    </w:p>
    <w:p w14:paraId="7F0524CB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</w:t>
      </w:r>
      <w:r>
        <w:rPr>
          <w:rFonts w:hint="eastAsia"/>
          <w:color w:val="auto"/>
          <w:sz w:val="24"/>
          <w:highlight w:val="none"/>
        </w:rPr>
        <w:t>3.</w:t>
      </w:r>
      <w:r>
        <w:rPr>
          <w:color w:val="auto"/>
          <w:sz w:val="24"/>
          <w:highlight w:val="none"/>
        </w:rPr>
        <w:t>1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color w:val="auto"/>
          <w:sz w:val="24"/>
          <w:highlight w:val="none"/>
        </w:rPr>
        <w:t>钨基体</w:t>
      </w:r>
    </w:p>
    <w:p w14:paraId="16BD802E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1）纯度≥99.9</w:t>
      </w:r>
      <w:r>
        <w:rPr>
          <w:rFonts w:hint="eastAsia"/>
          <w:color w:val="auto"/>
          <w:sz w:val="24"/>
          <w:highlight w:val="none"/>
        </w:rPr>
        <w:t>6</w:t>
      </w:r>
      <w:r>
        <w:rPr>
          <w:color w:val="auto"/>
          <w:sz w:val="24"/>
          <w:highlight w:val="none"/>
        </w:rPr>
        <w:t>%，</w:t>
      </w:r>
      <w:r>
        <w:rPr>
          <w:rFonts w:hint="eastAsia"/>
          <w:color w:val="auto"/>
          <w:sz w:val="24"/>
          <w:highlight w:val="none"/>
        </w:rPr>
        <w:t>成分满足下表</w:t>
      </w:r>
    </w:p>
    <w:tbl>
      <w:tblPr>
        <w:tblStyle w:val="3"/>
        <w:tblW w:w="88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5"/>
        <w:gridCol w:w="2938"/>
        <w:gridCol w:w="2946"/>
      </w:tblGrid>
      <w:tr w14:paraId="175C6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945" w:type="dxa"/>
            <w:noWrap w:val="0"/>
            <w:vAlign w:val="top"/>
          </w:tcPr>
          <w:p w14:paraId="4D75C136">
            <w:pPr>
              <w:spacing w:before="129" w:line="225" w:lineRule="auto"/>
              <w:ind w:left="1248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highlight w:val="none"/>
              </w:rPr>
              <w:t>元素</w:t>
            </w:r>
          </w:p>
        </w:tc>
        <w:tc>
          <w:tcPr>
            <w:tcW w:w="2938" w:type="dxa"/>
            <w:noWrap w:val="0"/>
            <w:vAlign w:val="top"/>
          </w:tcPr>
          <w:p w14:paraId="57769167">
            <w:pPr>
              <w:spacing w:before="129" w:line="224" w:lineRule="auto"/>
              <w:ind w:left="874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highlight w:val="none"/>
              </w:rPr>
              <w:t>含量，</w:t>
            </w:r>
            <w:r>
              <w:rPr>
                <w:rFonts w:eastAsia="Times New Roman"/>
                <w:color w:val="auto"/>
                <w:spacing w:val="-3"/>
                <w:sz w:val="24"/>
                <w:highlight w:val="none"/>
              </w:rPr>
              <w:t>wt.%</w:t>
            </w:r>
          </w:p>
        </w:tc>
        <w:tc>
          <w:tcPr>
            <w:tcW w:w="2946" w:type="dxa"/>
            <w:noWrap w:val="0"/>
            <w:vAlign w:val="top"/>
          </w:tcPr>
          <w:p w14:paraId="58D8EA84">
            <w:pPr>
              <w:spacing w:before="130" w:line="222" w:lineRule="auto"/>
              <w:ind w:left="643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highlight w:val="none"/>
              </w:rPr>
              <w:t>允许偏差，</w:t>
            </w:r>
            <w:r>
              <w:rPr>
                <w:rFonts w:eastAsia="Times New Roman"/>
                <w:color w:val="auto"/>
                <w:spacing w:val="-3"/>
                <w:sz w:val="24"/>
                <w:highlight w:val="none"/>
              </w:rPr>
              <w:t>wt.%</w:t>
            </w:r>
          </w:p>
        </w:tc>
      </w:tr>
      <w:tr w14:paraId="3F39F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945" w:type="dxa"/>
            <w:noWrap w:val="0"/>
            <w:vAlign w:val="top"/>
          </w:tcPr>
          <w:p w14:paraId="7732E2F1">
            <w:pPr>
              <w:spacing w:before="169" w:line="186" w:lineRule="auto"/>
              <w:ind w:left="1398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z w:val="24"/>
                <w:highlight w:val="none"/>
              </w:rPr>
              <w:t>C</w:t>
            </w:r>
          </w:p>
        </w:tc>
        <w:tc>
          <w:tcPr>
            <w:tcW w:w="2938" w:type="dxa"/>
            <w:noWrap w:val="0"/>
            <w:vAlign w:val="top"/>
          </w:tcPr>
          <w:p w14:paraId="0383172C">
            <w:pPr>
              <w:spacing w:before="169" w:line="186" w:lineRule="auto"/>
              <w:ind w:left="1203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4"/>
                <w:highlight w:val="none"/>
              </w:rPr>
              <w:t>≤0.002</w:t>
            </w:r>
          </w:p>
        </w:tc>
        <w:tc>
          <w:tcPr>
            <w:tcW w:w="2946" w:type="dxa"/>
            <w:noWrap w:val="0"/>
            <w:vAlign w:val="top"/>
          </w:tcPr>
          <w:p w14:paraId="77574F74">
            <w:pPr>
              <w:spacing w:before="125" w:line="236" w:lineRule="auto"/>
              <w:ind w:left="1116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——</w:t>
            </w:r>
          </w:p>
        </w:tc>
      </w:tr>
      <w:tr w14:paraId="6A9F7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945" w:type="dxa"/>
            <w:noWrap w:val="0"/>
            <w:vAlign w:val="top"/>
          </w:tcPr>
          <w:p w14:paraId="1E9ACBCC">
            <w:pPr>
              <w:spacing w:before="169" w:line="186" w:lineRule="auto"/>
              <w:ind w:left="1390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z w:val="24"/>
                <w:highlight w:val="none"/>
              </w:rPr>
              <w:t>O</w:t>
            </w:r>
          </w:p>
        </w:tc>
        <w:tc>
          <w:tcPr>
            <w:tcW w:w="2938" w:type="dxa"/>
            <w:noWrap w:val="0"/>
            <w:vAlign w:val="top"/>
          </w:tcPr>
          <w:p w14:paraId="21199077">
            <w:pPr>
              <w:spacing w:before="170" w:line="186" w:lineRule="auto"/>
              <w:ind w:left="1203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"/>
                <w:sz w:val="24"/>
                <w:highlight w:val="none"/>
              </w:rPr>
              <w:t>≤0.002</w:t>
            </w:r>
          </w:p>
        </w:tc>
        <w:tc>
          <w:tcPr>
            <w:tcW w:w="2946" w:type="dxa"/>
            <w:noWrap w:val="0"/>
            <w:vAlign w:val="top"/>
          </w:tcPr>
          <w:p w14:paraId="07192463">
            <w:pPr>
              <w:spacing w:before="125" w:line="222" w:lineRule="auto"/>
              <w:ind w:left="946" w:firstLine="240" w:firstLineChars="10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——</w:t>
            </w:r>
          </w:p>
        </w:tc>
      </w:tr>
      <w:tr w14:paraId="25987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945" w:type="dxa"/>
            <w:noWrap w:val="0"/>
            <w:vAlign w:val="top"/>
          </w:tcPr>
          <w:p w14:paraId="128BDA71">
            <w:pPr>
              <w:spacing w:before="173" w:line="183" w:lineRule="auto"/>
              <w:ind w:left="1379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2"/>
                <w:sz w:val="24"/>
                <w:highlight w:val="none"/>
              </w:rPr>
              <w:t>N</w:t>
            </w:r>
          </w:p>
        </w:tc>
        <w:tc>
          <w:tcPr>
            <w:tcW w:w="2938" w:type="dxa"/>
            <w:noWrap w:val="0"/>
            <w:vAlign w:val="top"/>
          </w:tcPr>
          <w:p w14:paraId="3968D99E">
            <w:pPr>
              <w:spacing w:before="170" w:line="186" w:lineRule="auto"/>
              <w:ind w:left="1203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2"/>
                <w:sz w:val="24"/>
                <w:highlight w:val="none"/>
              </w:rPr>
              <w:t>0.010</w:t>
            </w:r>
          </w:p>
        </w:tc>
        <w:tc>
          <w:tcPr>
            <w:tcW w:w="2946" w:type="dxa"/>
            <w:noWrap w:val="0"/>
            <w:vAlign w:val="top"/>
          </w:tcPr>
          <w:p w14:paraId="5B1BB631">
            <w:pPr>
              <w:spacing w:before="170" w:line="186" w:lineRule="auto"/>
              <w:ind w:left="1076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1"/>
                <w:sz w:val="24"/>
                <w:highlight w:val="none"/>
              </w:rPr>
              <w:t>+0.0005</w:t>
            </w:r>
          </w:p>
        </w:tc>
      </w:tr>
      <w:tr w14:paraId="2F72C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945" w:type="dxa"/>
            <w:noWrap w:val="0"/>
            <w:vAlign w:val="top"/>
          </w:tcPr>
          <w:p w14:paraId="5038252F">
            <w:pPr>
              <w:spacing w:before="176" w:line="183" w:lineRule="auto"/>
              <w:ind w:left="1352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2"/>
                <w:sz w:val="24"/>
                <w:highlight w:val="none"/>
              </w:rPr>
              <w:t>Fe</w:t>
            </w:r>
          </w:p>
        </w:tc>
        <w:tc>
          <w:tcPr>
            <w:tcW w:w="2938" w:type="dxa"/>
            <w:noWrap w:val="0"/>
            <w:vAlign w:val="top"/>
          </w:tcPr>
          <w:p w14:paraId="6E8A61E0">
            <w:pPr>
              <w:spacing w:before="173" w:line="186" w:lineRule="auto"/>
              <w:ind w:left="1203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2"/>
                <w:sz w:val="24"/>
                <w:highlight w:val="none"/>
              </w:rPr>
              <w:t>0.010</w:t>
            </w:r>
          </w:p>
        </w:tc>
        <w:tc>
          <w:tcPr>
            <w:tcW w:w="2946" w:type="dxa"/>
            <w:noWrap w:val="0"/>
            <w:vAlign w:val="top"/>
          </w:tcPr>
          <w:p w14:paraId="739D564E">
            <w:pPr>
              <w:spacing w:before="173" w:line="186" w:lineRule="auto"/>
              <w:ind w:left="1136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1"/>
                <w:sz w:val="24"/>
                <w:highlight w:val="none"/>
              </w:rPr>
              <w:t>+0.001</w:t>
            </w:r>
          </w:p>
        </w:tc>
      </w:tr>
      <w:tr w14:paraId="64744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945" w:type="dxa"/>
            <w:noWrap w:val="0"/>
            <w:vAlign w:val="top"/>
          </w:tcPr>
          <w:p w14:paraId="58B297C8">
            <w:pPr>
              <w:spacing w:before="170" w:line="190" w:lineRule="auto"/>
              <w:ind w:left="1345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1"/>
                <w:sz w:val="24"/>
                <w:highlight w:val="none"/>
              </w:rPr>
              <w:t>Ni</w:t>
            </w:r>
          </w:p>
        </w:tc>
        <w:tc>
          <w:tcPr>
            <w:tcW w:w="2938" w:type="dxa"/>
            <w:noWrap w:val="0"/>
            <w:vAlign w:val="top"/>
          </w:tcPr>
          <w:p w14:paraId="417EB675">
            <w:pPr>
              <w:spacing w:before="174" w:line="186" w:lineRule="auto"/>
              <w:ind w:left="1203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2"/>
                <w:sz w:val="24"/>
                <w:highlight w:val="none"/>
              </w:rPr>
              <w:t>0.010</w:t>
            </w:r>
          </w:p>
        </w:tc>
        <w:tc>
          <w:tcPr>
            <w:tcW w:w="2946" w:type="dxa"/>
            <w:noWrap w:val="0"/>
            <w:vAlign w:val="top"/>
          </w:tcPr>
          <w:p w14:paraId="7BE680FC">
            <w:pPr>
              <w:spacing w:before="174" w:line="186" w:lineRule="auto"/>
              <w:ind w:left="1136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1"/>
                <w:sz w:val="24"/>
                <w:highlight w:val="none"/>
              </w:rPr>
              <w:t>+0.001</w:t>
            </w:r>
          </w:p>
        </w:tc>
      </w:tr>
      <w:tr w14:paraId="501DB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945" w:type="dxa"/>
            <w:noWrap w:val="0"/>
            <w:vAlign w:val="top"/>
          </w:tcPr>
          <w:p w14:paraId="11EBB528">
            <w:pPr>
              <w:spacing w:before="167" w:line="190" w:lineRule="auto"/>
              <w:ind w:left="1385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5"/>
                <w:sz w:val="24"/>
                <w:highlight w:val="none"/>
              </w:rPr>
              <w:t>Si</w:t>
            </w:r>
          </w:p>
        </w:tc>
        <w:tc>
          <w:tcPr>
            <w:tcW w:w="2938" w:type="dxa"/>
            <w:noWrap w:val="0"/>
            <w:vAlign w:val="top"/>
          </w:tcPr>
          <w:p w14:paraId="284B2A38">
            <w:pPr>
              <w:spacing w:before="172" w:line="186" w:lineRule="auto"/>
              <w:ind w:left="1203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2"/>
                <w:sz w:val="24"/>
                <w:highlight w:val="none"/>
              </w:rPr>
              <w:t>0.010</w:t>
            </w:r>
          </w:p>
        </w:tc>
        <w:tc>
          <w:tcPr>
            <w:tcW w:w="2946" w:type="dxa"/>
            <w:noWrap w:val="0"/>
            <w:vAlign w:val="top"/>
          </w:tcPr>
          <w:p w14:paraId="2A47AC10">
            <w:pPr>
              <w:spacing w:before="172" w:line="186" w:lineRule="auto"/>
              <w:ind w:left="1136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1"/>
                <w:sz w:val="24"/>
                <w:highlight w:val="none"/>
              </w:rPr>
              <w:t>+0.001</w:t>
            </w:r>
          </w:p>
        </w:tc>
      </w:tr>
      <w:tr w14:paraId="677FF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945" w:type="dxa"/>
            <w:noWrap w:val="0"/>
            <w:vAlign w:val="top"/>
          </w:tcPr>
          <w:p w14:paraId="5D866011">
            <w:pPr>
              <w:spacing w:before="172" w:line="186" w:lineRule="auto"/>
              <w:ind w:left="1338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4"/>
                <w:sz w:val="24"/>
                <w:highlight w:val="none"/>
              </w:rPr>
              <w:t>Co</w:t>
            </w:r>
          </w:p>
        </w:tc>
        <w:tc>
          <w:tcPr>
            <w:tcW w:w="2938" w:type="dxa"/>
            <w:noWrap w:val="0"/>
            <w:vAlign w:val="top"/>
          </w:tcPr>
          <w:p w14:paraId="2B5519C3">
            <w:pPr>
              <w:spacing w:before="172" w:line="186" w:lineRule="auto"/>
              <w:ind w:left="1191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2"/>
                <w:sz w:val="24"/>
                <w:highlight w:val="none"/>
              </w:rPr>
              <w:t>&lt;0.05</w:t>
            </w:r>
          </w:p>
        </w:tc>
        <w:tc>
          <w:tcPr>
            <w:tcW w:w="2946" w:type="dxa"/>
            <w:noWrap w:val="0"/>
            <w:vAlign w:val="top"/>
          </w:tcPr>
          <w:p w14:paraId="0D9CFA1A">
            <w:pPr>
              <w:spacing w:before="168" w:line="190" w:lineRule="auto"/>
              <w:ind w:left="1261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z w:val="24"/>
                <w:highlight w:val="none"/>
              </w:rPr>
              <w:t>N/A</w:t>
            </w:r>
          </w:p>
        </w:tc>
      </w:tr>
      <w:tr w14:paraId="7795F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945" w:type="dxa"/>
            <w:noWrap w:val="0"/>
            <w:vAlign w:val="top"/>
          </w:tcPr>
          <w:p w14:paraId="6589A172">
            <w:pPr>
              <w:spacing w:before="168" w:line="190" w:lineRule="auto"/>
              <w:ind w:left="1319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1"/>
                <w:sz w:val="24"/>
                <w:highlight w:val="none"/>
              </w:rPr>
              <w:t>Nb</w:t>
            </w:r>
          </w:p>
        </w:tc>
        <w:tc>
          <w:tcPr>
            <w:tcW w:w="2938" w:type="dxa"/>
            <w:noWrap w:val="0"/>
            <w:vAlign w:val="top"/>
          </w:tcPr>
          <w:p w14:paraId="242F2CD8">
            <w:pPr>
              <w:spacing w:before="172" w:line="186" w:lineRule="auto"/>
              <w:ind w:left="1191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2"/>
                <w:sz w:val="24"/>
                <w:highlight w:val="none"/>
              </w:rPr>
              <w:t>&lt;0.01</w:t>
            </w:r>
          </w:p>
        </w:tc>
        <w:tc>
          <w:tcPr>
            <w:tcW w:w="2946" w:type="dxa"/>
            <w:noWrap w:val="0"/>
            <w:vAlign w:val="top"/>
          </w:tcPr>
          <w:p w14:paraId="61947008">
            <w:pPr>
              <w:spacing w:before="168" w:line="190" w:lineRule="auto"/>
              <w:ind w:left="1261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z w:val="24"/>
                <w:highlight w:val="none"/>
              </w:rPr>
              <w:t>N/A</w:t>
            </w:r>
          </w:p>
        </w:tc>
      </w:tr>
      <w:tr w14:paraId="78753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945" w:type="dxa"/>
            <w:noWrap w:val="0"/>
            <w:vAlign w:val="top"/>
          </w:tcPr>
          <w:p w14:paraId="10A43CBF">
            <w:pPr>
              <w:spacing w:before="176" w:line="183" w:lineRule="auto"/>
              <w:ind w:left="1351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3"/>
                <w:sz w:val="24"/>
                <w:highlight w:val="none"/>
              </w:rPr>
              <w:t>Ta</w:t>
            </w:r>
          </w:p>
        </w:tc>
        <w:tc>
          <w:tcPr>
            <w:tcW w:w="2938" w:type="dxa"/>
            <w:noWrap w:val="0"/>
            <w:vAlign w:val="top"/>
          </w:tcPr>
          <w:p w14:paraId="75085300">
            <w:pPr>
              <w:spacing w:before="173" w:line="186" w:lineRule="auto"/>
              <w:ind w:left="1191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pacing w:val="-2"/>
                <w:sz w:val="24"/>
                <w:highlight w:val="none"/>
              </w:rPr>
              <w:t>&lt;0.01</w:t>
            </w:r>
          </w:p>
        </w:tc>
        <w:tc>
          <w:tcPr>
            <w:tcW w:w="2946" w:type="dxa"/>
            <w:noWrap w:val="0"/>
            <w:vAlign w:val="top"/>
          </w:tcPr>
          <w:p w14:paraId="4B55033E">
            <w:pPr>
              <w:spacing w:before="168" w:line="190" w:lineRule="auto"/>
              <w:ind w:left="1261"/>
              <w:rPr>
                <w:rFonts w:eastAsia="Times New Roman"/>
                <w:color w:val="auto"/>
                <w:sz w:val="24"/>
                <w:highlight w:val="none"/>
              </w:rPr>
            </w:pPr>
            <w:r>
              <w:rPr>
                <w:rFonts w:eastAsia="Times New Roman"/>
                <w:color w:val="auto"/>
                <w:sz w:val="24"/>
                <w:highlight w:val="none"/>
              </w:rPr>
              <w:t>N/A</w:t>
            </w:r>
          </w:p>
        </w:tc>
      </w:tr>
    </w:tbl>
    <w:p w14:paraId="0DDF099C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</w:p>
    <w:p w14:paraId="7A406B19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晶粒度</w:t>
      </w:r>
      <w:r>
        <w:rPr>
          <w:rFonts w:hint="eastAsia"/>
          <w:color w:val="auto"/>
          <w:sz w:val="24"/>
          <w:highlight w:val="none"/>
        </w:rPr>
        <w:t>优于</w:t>
      </w:r>
      <w:r>
        <w:rPr>
          <w:color w:val="auto"/>
          <w:sz w:val="24"/>
          <w:highlight w:val="none"/>
        </w:rPr>
        <w:t>5级，</w:t>
      </w:r>
      <w:r>
        <w:rPr>
          <w:rFonts w:hint="eastAsia"/>
          <w:color w:val="auto"/>
          <w:sz w:val="24"/>
          <w:highlight w:val="none"/>
        </w:rPr>
        <w:t>钨板应在与变形方向垂直的平面(距离边缘至少 3mm)进行维氏硬度检验。维氏硬度测试应按照 ASTM E92 或 EN ISO 6507-1 进行。交货硬度 HV30≥430，1500℃真空(≤10-1 Pa)中至少热处理 1 小时HV30≥360。</w:t>
      </w:r>
      <w:r>
        <w:rPr>
          <w:color w:val="auto"/>
          <w:sz w:val="24"/>
          <w:highlight w:val="none"/>
        </w:rPr>
        <w:t>1000</w:t>
      </w:r>
      <w:r>
        <w:rPr>
          <w:color w:val="auto"/>
          <w:sz w:val="24"/>
          <w:highlight w:val="none"/>
          <w:vertAlign w:val="superscript"/>
        </w:rPr>
        <w:t>o</w:t>
      </w:r>
      <w:r>
        <w:rPr>
          <w:color w:val="auto"/>
          <w:sz w:val="24"/>
          <w:highlight w:val="none"/>
        </w:rPr>
        <w:t>C时拉伸强度≥400MPa</w:t>
      </w:r>
      <w:r>
        <w:rPr>
          <w:rFonts w:hint="eastAsia"/>
          <w:color w:val="auto"/>
          <w:sz w:val="24"/>
          <w:highlight w:val="none"/>
        </w:rPr>
        <w:t>。</w:t>
      </w:r>
      <w:r>
        <w:rPr>
          <w:color w:val="auto"/>
          <w:sz w:val="24"/>
          <w:highlight w:val="none"/>
        </w:rPr>
        <w:t>钨块密度≥19.1</w:t>
      </w:r>
      <w:r>
        <w:rPr>
          <w:rFonts w:hint="eastAsia"/>
          <w:color w:val="auto"/>
          <w:sz w:val="24"/>
          <w:highlight w:val="none"/>
        </w:rPr>
        <w:t>5</w:t>
      </w:r>
      <w:r>
        <w:rPr>
          <w:color w:val="auto"/>
          <w:sz w:val="24"/>
          <w:highlight w:val="none"/>
        </w:rPr>
        <w:t>g/cm</w:t>
      </w:r>
      <w:r>
        <w:rPr>
          <w:color w:val="auto"/>
          <w:sz w:val="24"/>
          <w:highlight w:val="none"/>
          <w:vertAlign w:val="superscript"/>
        </w:rPr>
        <w:t>3</w:t>
      </w:r>
      <w:r>
        <w:rPr>
          <w:rFonts w:hint="eastAsia"/>
          <w:color w:val="auto"/>
          <w:sz w:val="24"/>
          <w:highlight w:val="none"/>
        </w:rPr>
        <w:t>；</w:t>
      </w:r>
    </w:p>
    <w:p w14:paraId="41D00CFF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2）晶粒取向：晶粒为竖直方向（与</w:t>
      </w:r>
      <w:r>
        <w:rPr>
          <w:rFonts w:hint="eastAsia"/>
          <w:color w:val="auto"/>
          <w:sz w:val="24"/>
          <w:highlight w:val="none"/>
        </w:rPr>
        <w:t>面对等离子体表面</w:t>
      </w:r>
      <w:r>
        <w:rPr>
          <w:color w:val="auto"/>
          <w:sz w:val="24"/>
          <w:highlight w:val="none"/>
        </w:rPr>
        <w:t>垂直）；</w:t>
      </w:r>
    </w:p>
    <w:p w14:paraId="784B46DB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3）表面光洁</w:t>
      </w:r>
      <w:r>
        <w:rPr>
          <w:rFonts w:hint="eastAsia"/>
          <w:color w:val="auto"/>
          <w:sz w:val="24"/>
          <w:highlight w:val="none"/>
        </w:rPr>
        <w:t>，无可见的氧化物、水垢、裂口、搭扣、裂纹、接缝、突出物、胆痕</w:t>
      </w:r>
      <w:r>
        <w:rPr>
          <w:color w:val="auto"/>
          <w:sz w:val="24"/>
          <w:highlight w:val="none"/>
        </w:rPr>
        <w:t>、无裂纹，基体内无超过φ</w:t>
      </w:r>
      <w:r>
        <w:rPr>
          <w:rFonts w:hint="eastAsia"/>
          <w:color w:val="auto"/>
          <w:sz w:val="24"/>
          <w:highlight w:val="none"/>
        </w:rPr>
        <w:t>0.5</w:t>
      </w:r>
      <w:r>
        <w:rPr>
          <w:color w:val="auto"/>
          <w:sz w:val="24"/>
          <w:highlight w:val="none"/>
        </w:rPr>
        <w:t>mm当量的缺陷；</w:t>
      </w:r>
    </w:p>
    <w:p w14:paraId="0239D0E8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4）每批次的钨块进行密度测量、成分测试、金相分析、拉伸强度测试，各项测试取样</w:t>
      </w:r>
      <w:r>
        <w:rPr>
          <w:rFonts w:hint="eastAsia"/>
          <w:color w:val="auto"/>
          <w:sz w:val="24"/>
          <w:highlight w:val="none"/>
        </w:rPr>
        <w:t>至少3</w:t>
      </w:r>
      <w:r>
        <w:rPr>
          <w:color w:val="auto"/>
          <w:sz w:val="24"/>
          <w:highlight w:val="none"/>
        </w:rPr>
        <w:t>件。</w:t>
      </w:r>
    </w:p>
    <w:p w14:paraId="6E452A51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</w:t>
      </w:r>
      <w:r>
        <w:rPr>
          <w:rFonts w:hint="eastAsia"/>
          <w:color w:val="auto"/>
          <w:sz w:val="24"/>
          <w:highlight w:val="none"/>
        </w:rPr>
        <w:t>3.</w:t>
      </w:r>
      <w:r>
        <w:rPr>
          <w:color w:val="auto"/>
          <w:sz w:val="24"/>
          <w:highlight w:val="none"/>
        </w:rPr>
        <w:t>2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color w:val="auto"/>
          <w:sz w:val="24"/>
          <w:highlight w:val="none"/>
        </w:rPr>
        <w:t>无氧铜层</w:t>
      </w:r>
    </w:p>
    <w:p w14:paraId="28631FCC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1）纯度：≥99.9</w:t>
      </w:r>
      <w:r>
        <w:rPr>
          <w:rFonts w:hint="eastAsia"/>
          <w:color w:val="auto"/>
          <w:sz w:val="24"/>
          <w:highlight w:val="none"/>
        </w:rPr>
        <w:t>5</w:t>
      </w:r>
      <w:r>
        <w:rPr>
          <w:color w:val="auto"/>
          <w:sz w:val="24"/>
          <w:highlight w:val="none"/>
        </w:rPr>
        <w:t>%；</w:t>
      </w:r>
    </w:p>
    <w:p w14:paraId="39C35EC6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2）氧含量：≤0.003%；</w:t>
      </w:r>
    </w:p>
    <w:p w14:paraId="54083E5F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3）杂质总含量：≤0.05%；</w:t>
      </w:r>
    </w:p>
    <w:p w14:paraId="5D5E9842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4）</w:t>
      </w:r>
      <w:r>
        <w:rPr>
          <w:rFonts w:hint="eastAsia"/>
          <w:color w:val="auto"/>
          <w:sz w:val="24"/>
          <w:highlight w:val="none"/>
        </w:rPr>
        <w:t xml:space="preserve">铜层无超过 </w:t>
      </w:r>
      <w:r>
        <w:rPr>
          <w:rFonts w:ascii="Calibri" w:hAnsi="Calibri" w:cs="Calibri"/>
          <w:color w:val="auto"/>
          <w:sz w:val="24"/>
          <w:highlight w:val="none"/>
        </w:rPr>
        <w:t>Φ</w:t>
      </w:r>
      <w:r>
        <w:rPr>
          <w:rFonts w:hint="eastAsia"/>
          <w:color w:val="auto"/>
          <w:sz w:val="24"/>
          <w:highlight w:val="none"/>
        </w:rPr>
        <w:t>1mm平底孔当量缺陷</w:t>
      </w:r>
    </w:p>
    <w:p w14:paraId="6A7345AC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2.3</w:t>
      </w:r>
      <w:r>
        <w:rPr>
          <w:rFonts w:hint="eastAsia"/>
          <w:color w:val="auto"/>
          <w:sz w:val="24"/>
          <w:highlight w:val="none"/>
        </w:rPr>
        <w:t>.3）</w:t>
      </w:r>
      <w:r>
        <w:rPr>
          <w:color w:val="auto"/>
          <w:sz w:val="24"/>
          <w:highlight w:val="none"/>
        </w:rPr>
        <w:t>铬锆铜管</w:t>
      </w:r>
    </w:p>
    <w:p w14:paraId="1335BCC3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1）管材成分满足：Cr含量在0.6~0.9%之间，Zr含量在0.07~0.15%之间，其他杂质含量≤0.15%</w:t>
      </w:r>
      <w:r>
        <w:rPr>
          <w:rFonts w:hint="eastAsia"/>
          <w:color w:val="auto"/>
          <w:sz w:val="24"/>
          <w:highlight w:val="none"/>
        </w:rPr>
        <w:t>，包含</w:t>
      </w:r>
      <w:r>
        <w:rPr>
          <w:rFonts w:eastAsia="Times New Roman"/>
          <w:color w:val="auto"/>
          <w:spacing w:val="-4"/>
          <w:sz w:val="24"/>
          <w:highlight w:val="none"/>
        </w:rPr>
        <w:t>Co</w:t>
      </w:r>
      <w:r>
        <w:rPr>
          <w:rFonts w:ascii="仿宋" w:hAnsi="仿宋" w:eastAsia="仿宋" w:cs="仿宋"/>
          <w:color w:val="auto"/>
          <w:spacing w:val="-4"/>
          <w:sz w:val="24"/>
          <w:highlight w:val="none"/>
        </w:rPr>
        <w:t>≤</w:t>
      </w:r>
      <w:r>
        <w:rPr>
          <w:rFonts w:eastAsia="Times New Roman"/>
          <w:color w:val="auto"/>
          <w:spacing w:val="-4"/>
          <w:sz w:val="24"/>
          <w:highlight w:val="none"/>
        </w:rPr>
        <w:t>0.05</w:t>
      </w:r>
      <w:r>
        <w:rPr>
          <w:rFonts w:eastAsia="Times New Roman"/>
          <w:color w:val="auto"/>
          <w:spacing w:val="-12"/>
          <w:sz w:val="24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4"/>
          <w:sz w:val="24"/>
          <w:highlight w:val="none"/>
        </w:rPr>
        <w:t>，</w:t>
      </w:r>
      <w:r>
        <w:rPr>
          <w:rFonts w:eastAsia="Times New Roman"/>
          <w:color w:val="auto"/>
          <w:spacing w:val="-4"/>
          <w:sz w:val="24"/>
          <w:highlight w:val="none"/>
        </w:rPr>
        <w:t>Nb</w:t>
      </w:r>
      <w:r>
        <w:rPr>
          <w:rFonts w:ascii="仿宋" w:hAnsi="仿宋" w:eastAsia="仿宋" w:cs="仿宋"/>
          <w:color w:val="auto"/>
          <w:spacing w:val="-4"/>
          <w:sz w:val="24"/>
          <w:highlight w:val="none"/>
        </w:rPr>
        <w:t>≤</w:t>
      </w:r>
      <w:r>
        <w:rPr>
          <w:rFonts w:eastAsia="Times New Roman"/>
          <w:color w:val="auto"/>
          <w:spacing w:val="-4"/>
          <w:sz w:val="24"/>
          <w:highlight w:val="none"/>
        </w:rPr>
        <w:t>0.01</w:t>
      </w:r>
      <w:r>
        <w:rPr>
          <w:rFonts w:eastAsia="Times New Roman"/>
          <w:color w:val="auto"/>
          <w:spacing w:val="-27"/>
          <w:sz w:val="24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4"/>
          <w:sz w:val="24"/>
          <w:highlight w:val="none"/>
        </w:rPr>
        <w:t>，</w:t>
      </w:r>
      <w:r>
        <w:rPr>
          <w:rFonts w:eastAsia="Times New Roman"/>
          <w:color w:val="auto"/>
          <w:spacing w:val="-4"/>
          <w:sz w:val="24"/>
          <w:highlight w:val="none"/>
        </w:rPr>
        <w:t>Ta</w:t>
      </w:r>
      <w:r>
        <w:rPr>
          <w:rFonts w:ascii="仿宋" w:hAnsi="仿宋" w:eastAsia="仿宋" w:cs="仿宋"/>
          <w:color w:val="auto"/>
          <w:spacing w:val="-4"/>
          <w:sz w:val="24"/>
          <w:highlight w:val="none"/>
        </w:rPr>
        <w:t>≤</w:t>
      </w:r>
      <w:r>
        <w:rPr>
          <w:rFonts w:eastAsia="Times New Roman"/>
          <w:color w:val="auto"/>
          <w:spacing w:val="-4"/>
          <w:sz w:val="24"/>
          <w:highlight w:val="none"/>
        </w:rPr>
        <w:t>0.01</w:t>
      </w:r>
    </w:p>
    <w:p w14:paraId="08AF5E5F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2）管材平均晶粒尺寸≤100μm，大于200μm的晶粒≤10%；</w:t>
      </w:r>
    </w:p>
    <w:p w14:paraId="105CDD38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3）管材在20</w:t>
      </w:r>
      <w:r>
        <w:rPr>
          <w:color w:val="auto"/>
          <w:sz w:val="24"/>
          <w:highlight w:val="none"/>
          <w:vertAlign w:val="superscript"/>
        </w:rPr>
        <w:t>o</w:t>
      </w:r>
      <w:r>
        <w:rPr>
          <w:color w:val="auto"/>
          <w:sz w:val="24"/>
          <w:highlight w:val="none"/>
        </w:rPr>
        <w:t>C时拉伸强度≥370MPa，屈服强度≥240MPa，延伸率≥17%；管材在250</w:t>
      </w:r>
      <w:r>
        <w:rPr>
          <w:color w:val="auto"/>
          <w:sz w:val="24"/>
          <w:highlight w:val="none"/>
          <w:vertAlign w:val="superscript"/>
        </w:rPr>
        <w:t>o</w:t>
      </w:r>
      <w:r>
        <w:rPr>
          <w:color w:val="auto"/>
          <w:sz w:val="24"/>
          <w:highlight w:val="none"/>
        </w:rPr>
        <w:t>C时拉伸强度≥280MPa，屈服强度≥200MPa，延伸率≥10%；</w:t>
      </w:r>
    </w:p>
    <w:p w14:paraId="5BB9D8A4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4）管道内部光洁，管材无裂纹及无大于0.1mm的缺陷；</w:t>
      </w:r>
    </w:p>
    <w:p w14:paraId="3086B637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所有表面应平整、均匀，无褶皱、波纹、气孔、撕裂、裂纹、夹杂物或异物。</w:t>
      </w:r>
    </w:p>
    <w:p w14:paraId="3583BD0E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5）每批铬锆铜管进行成分测试、金相分析、拉伸强度测试，各项测试取样</w:t>
      </w:r>
      <w:r>
        <w:rPr>
          <w:rFonts w:hint="eastAsia"/>
          <w:color w:val="auto"/>
          <w:sz w:val="24"/>
          <w:highlight w:val="none"/>
        </w:rPr>
        <w:t>至少3</w:t>
      </w:r>
      <w:r>
        <w:rPr>
          <w:color w:val="auto"/>
          <w:sz w:val="24"/>
          <w:highlight w:val="none"/>
        </w:rPr>
        <w:t>件。</w:t>
      </w:r>
    </w:p>
    <w:p w14:paraId="59D37091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</w:t>
      </w:r>
      <w:r>
        <w:rPr>
          <w:rFonts w:hint="eastAsia"/>
          <w:color w:val="auto"/>
          <w:sz w:val="24"/>
          <w:highlight w:val="none"/>
        </w:rPr>
        <w:t>3.</w:t>
      </w:r>
      <w:r>
        <w:rPr>
          <w:color w:val="auto"/>
          <w:sz w:val="24"/>
          <w:highlight w:val="none"/>
        </w:rPr>
        <w:t>4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color w:val="auto"/>
          <w:sz w:val="24"/>
          <w:highlight w:val="none"/>
        </w:rPr>
        <w:t>Inconel 625管</w:t>
      </w:r>
    </w:p>
    <w:p w14:paraId="1ACE052F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1）验收标准参照ASME B444；</w:t>
      </w:r>
    </w:p>
    <w:p w14:paraId="22CCD5D6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2）采购的Inconel 625管卖家需提供检测报告。</w:t>
      </w:r>
    </w:p>
    <w:p w14:paraId="23CF1B24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</w:p>
    <w:p w14:paraId="123ACE32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</w:t>
      </w:r>
      <w:r>
        <w:rPr>
          <w:rFonts w:hint="eastAsia"/>
          <w:color w:val="auto"/>
          <w:sz w:val="24"/>
          <w:highlight w:val="none"/>
        </w:rPr>
        <w:t>3.</w:t>
      </w:r>
      <w:r>
        <w:rPr>
          <w:color w:val="auto"/>
          <w:sz w:val="24"/>
          <w:highlight w:val="none"/>
        </w:rPr>
        <w:t>5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color w:val="auto"/>
          <w:sz w:val="24"/>
          <w:highlight w:val="none"/>
        </w:rPr>
        <w:t>钨铜结合界面</w:t>
      </w:r>
    </w:p>
    <w:p w14:paraId="2B7BCFDF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1）钨块和无氧铜层结合良好，</w:t>
      </w:r>
      <w:r>
        <w:rPr>
          <w:rFonts w:hint="eastAsia"/>
          <w:color w:val="auto"/>
          <w:sz w:val="24"/>
          <w:highlight w:val="none"/>
        </w:rPr>
        <w:t xml:space="preserve">无超过 </w:t>
      </w:r>
      <w:r>
        <w:rPr>
          <w:rFonts w:ascii="Calibri" w:hAnsi="Calibri" w:cs="Calibri"/>
          <w:color w:val="auto"/>
          <w:sz w:val="24"/>
          <w:highlight w:val="none"/>
        </w:rPr>
        <w:t>Φ</w:t>
      </w:r>
      <w:r>
        <w:rPr>
          <w:rFonts w:hint="eastAsia"/>
          <w:color w:val="auto"/>
          <w:sz w:val="24"/>
          <w:highlight w:val="none"/>
        </w:rPr>
        <w:t>2mm平底孔当量缺陷</w:t>
      </w:r>
      <w:r>
        <w:rPr>
          <w:color w:val="auto"/>
          <w:sz w:val="24"/>
          <w:highlight w:val="none"/>
        </w:rPr>
        <w:t>；</w:t>
      </w:r>
    </w:p>
    <w:p w14:paraId="0129E27F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</w:p>
    <w:p w14:paraId="40FA6D54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</w:t>
      </w:r>
      <w:r>
        <w:rPr>
          <w:rFonts w:hint="eastAsia"/>
          <w:color w:val="auto"/>
          <w:sz w:val="24"/>
          <w:highlight w:val="none"/>
        </w:rPr>
        <w:t>3.</w:t>
      </w:r>
      <w:r>
        <w:rPr>
          <w:color w:val="auto"/>
          <w:sz w:val="24"/>
          <w:highlight w:val="none"/>
        </w:rPr>
        <w:t>6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color w:val="auto"/>
          <w:sz w:val="24"/>
          <w:highlight w:val="none"/>
        </w:rPr>
        <w:t>铬锆铜管与Inconel管的界面</w:t>
      </w:r>
    </w:p>
    <w:p w14:paraId="08DD063C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1）X射线检验，无大于0.5mm的缺陷；</w:t>
      </w:r>
    </w:p>
    <w:p w14:paraId="31C091BD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2）在200°C的情况下，拉伸强度≥200MPa；</w:t>
      </w:r>
    </w:p>
    <w:p w14:paraId="7347BAF3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3）时效处理</w:t>
      </w:r>
      <w:r>
        <w:rPr>
          <w:rFonts w:hint="eastAsia"/>
          <w:color w:val="auto"/>
          <w:sz w:val="24"/>
          <w:highlight w:val="none"/>
        </w:rPr>
        <w:t>后</w:t>
      </w:r>
      <w:r>
        <w:rPr>
          <w:color w:val="auto"/>
          <w:sz w:val="24"/>
          <w:highlight w:val="none"/>
        </w:rPr>
        <w:t>，</w:t>
      </w:r>
      <w:r>
        <w:rPr>
          <w:rFonts w:hint="eastAsia"/>
          <w:color w:val="auto"/>
          <w:sz w:val="24"/>
          <w:highlight w:val="none"/>
        </w:rPr>
        <w:t>在规定载荷条件下，弯剪</w:t>
      </w:r>
      <w:r>
        <w:rPr>
          <w:color w:val="auto"/>
          <w:sz w:val="24"/>
          <w:highlight w:val="none"/>
        </w:rPr>
        <w:t>疲劳寿命</w:t>
      </w:r>
      <w:r>
        <w:rPr>
          <w:rFonts w:hint="eastAsia"/>
          <w:color w:val="auto"/>
          <w:sz w:val="24"/>
          <w:highlight w:val="none"/>
        </w:rPr>
        <w:t>不小于</w:t>
      </w:r>
      <w:r>
        <w:rPr>
          <w:color w:val="auto"/>
          <w:sz w:val="24"/>
          <w:highlight w:val="none"/>
        </w:rPr>
        <w:t>10000次</w:t>
      </w:r>
      <w:r>
        <w:rPr>
          <w:rFonts w:hint="eastAsia"/>
          <w:color w:val="auto"/>
          <w:sz w:val="24"/>
          <w:highlight w:val="none"/>
        </w:rPr>
        <w:t>，</w:t>
      </w:r>
      <w:r>
        <w:rPr>
          <w:color w:val="auto"/>
          <w:sz w:val="24"/>
          <w:highlight w:val="none"/>
        </w:rPr>
        <w:t>且测试后焊缝氦检无漏点。</w:t>
      </w:r>
    </w:p>
    <w:p w14:paraId="6B1CFB92">
      <w:pPr>
        <w:adjustRightInd w:val="0"/>
        <w:snapToGrid w:val="0"/>
        <w:spacing w:line="360" w:lineRule="auto"/>
        <w:ind w:firstLine="420" w:firstLineChars="200"/>
        <w:rPr>
          <w:color w:val="auto"/>
          <w:highlight w:val="none"/>
        </w:rPr>
      </w:pPr>
    </w:p>
    <w:p w14:paraId="5287258D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</w:t>
      </w:r>
      <w:r>
        <w:rPr>
          <w:rFonts w:hint="eastAsia"/>
          <w:color w:val="auto"/>
          <w:sz w:val="24"/>
          <w:highlight w:val="none"/>
        </w:rPr>
        <w:t>3.</w:t>
      </w:r>
      <w:r>
        <w:rPr>
          <w:color w:val="auto"/>
          <w:sz w:val="24"/>
          <w:highlight w:val="none"/>
        </w:rPr>
        <w:t>7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color w:val="auto"/>
          <w:sz w:val="24"/>
          <w:highlight w:val="none"/>
        </w:rPr>
        <w:t>钨铜块与铬锆铜管的界面</w:t>
      </w:r>
    </w:p>
    <w:p w14:paraId="0F4D0DF0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1）超声探伤：</w:t>
      </w:r>
      <w:r>
        <w:rPr>
          <w:rFonts w:hint="eastAsia"/>
          <w:color w:val="auto"/>
          <w:sz w:val="24"/>
          <w:highlight w:val="none"/>
        </w:rPr>
        <w:t>全圆周孔范围内无大于φ1mm当量的缺陷，缺陷面积不超过2×3mm</w:t>
      </w:r>
      <w:r>
        <w:rPr>
          <w:rFonts w:hint="eastAsia"/>
          <w:color w:val="auto"/>
          <w:sz w:val="24"/>
          <w:highlight w:val="none"/>
          <w:vertAlign w:val="superscript"/>
        </w:rPr>
        <w:t>2</w:t>
      </w:r>
      <w:r>
        <w:rPr>
          <w:rFonts w:hint="eastAsia"/>
          <w:color w:val="auto"/>
          <w:sz w:val="24"/>
          <w:highlight w:val="none"/>
        </w:rPr>
        <w:t>；；</w:t>
      </w:r>
    </w:p>
    <w:p w14:paraId="12844086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2）满足1</w:t>
      </w:r>
      <w:r>
        <w:rPr>
          <w:rFonts w:hint="eastAsia"/>
          <w:color w:val="auto"/>
          <w:sz w:val="24"/>
          <w:highlight w:val="none"/>
        </w:rPr>
        <w:t>5</w:t>
      </w:r>
      <w:r>
        <w:rPr>
          <w:color w:val="auto"/>
          <w:sz w:val="24"/>
          <w:highlight w:val="none"/>
        </w:rPr>
        <w:t>MW/m</w:t>
      </w:r>
      <w:r>
        <w:rPr>
          <w:color w:val="auto"/>
          <w:sz w:val="24"/>
          <w:highlight w:val="none"/>
          <w:vertAlign w:val="superscript"/>
        </w:rPr>
        <w:t>2</w:t>
      </w:r>
      <w:r>
        <w:rPr>
          <w:color w:val="auto"/>
          <w:sz w:val="24"/>
          <w:highlight w:val="none"/>
        </w:rPr>
        <w:t>稳态热负荷的要求；</w:t>
      </w:r>
    </w:p>
    <w:p w14:paraId="356705B7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3）</w:t>
      </w:r>
      <w:r>
        <w:rPr>
          <w:rFonts w:hint="eastAsia"/>
          <w:color w:val="auto"/>
          <w:sz w:val="24"/>
          <w:highlight w:val="none"/>
        </w:rPr>
        <w:t>在规定载荷条件下，</w:t>
      </w:r>
      <w:r>
        <w:rPr>
          <w:color w:val="auto"/>
          <w:sz w:val="24"/>
          <w:highlight w:val="none"/>
        </w:rPr>
        <w:t>疲劳寿命</w:t>
      </w:r>
      <w:r>
        <w:rPr>
          <w:rFonts w:hint="eastAsia"/>
          <w:color w:val="auto"/>
          <w:sz w:val="24"/>
          <w:highlight w:val="none"/>
        </w:rPr>
        <w:t>不小于1</w:t>
      </w:r>
      <w:r>
        <w:rPr>
          <w:color w:val="auto"/>
          <w:sz w:val="24"/>
          <w:highlight w:val="none"/>
        </w:rPr>
        <w:t>000次。</w:t>
      </w:r>
    </w:p>
    <w:p w14:paraId="6CEB2F12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</w:t>
      </w:r>
      <w:r>
        <w:rPr>
          <w:rFonts w:hint="eastAsia"/>
          <w:color w:val="auto"/>
          <w:sz w:val="24"/>
          <w:highlight w:val="none"/>
        </w:rPr>
        <w:t>3.</w:t>
      </w:r>
      <w:r>
        <w:rPr>
          <w:color w:val="auto"/>
          <w:sz w:val="24"/>
          <w:highlight w:val="none"/>
        </w:rPr>
        <w:t>8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color w:val="auto"/>
          <w:sz w:val="24"/>
          <w:highlight w:val="none"/>
        </w:rPr>
        <w:t>支撑腿</w:t>
      </w:r>
    </w:p>
    <w:p w14:paraId="04480B9C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1）钨铜、铜钢界面：单个缺陷</w:t>
      </w:r>
      <w:r>
        <w:rPr>
          <w:rFonts w:hint="eastAsia"/>
          <w:color w:val="auto"/>
          <w:sz w:val="24"/>
          <w:highlight w:val="none"/>
        </w:rPr>
        <w:t>尺寸无</w:t>
      </w:r>
      <w:r>
        <w:rPr>
          <w:color w:val="auto"/>
          <w:sz w:val="24"/>
          <w:highlight w:val="none"/>
        </w:rPr>
        <w:t>超过φ</w:t>
      </w:r>
      <w:r>
        <w:rPr>
          <w:rFonts w:hint="eastAsia"/>
          <w:color w:val="auto"/>
          <w:sz w:val="24"/>
          <w:highlight w:val="none"/>
        </w:rPr>
        <w:t>2</w:t>
      </w:r>
      <w:r>
        <w:rPr>
          <w:color w:val="auto"/>
          <w:sz w:val="24"/>
          <w:highlight w:val="none"/>
        </w:rPr>
        <w:t>mm当量的缺陷，缺陷间距大于单个缺陷的长度，缺陷面积不超过10%；</w:t>
      </w:r>
    </w:p>
    <w:p w14:paraId="7FAE1AEE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2）支撑腿与钨块之间的连接强度≥120MPa；</w:t>
      </w:r>
    </w:p>
    <w:p w14:paraId="593AEC4C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3）</w:t>
      </w:r>
      <w:r>
        <w:rPr>
          <w:rFonts w:eastAsia="Times New Roman"/>
          <w:color w:val="auto"/>
          <w:spacing w:val="-5"/>
          <w:sz w:val="24"/>
          <w:highlight w:val="none"/>
        </w:rPr>
        <w:t>RT</w:t>
      </w:r>
      <w:r>
        <w:rPr>
          <w:rFonts w:eastAsia="Times New Roman"/>
          <w:color w:val="auto"/>
          <w:spacing w:val="-26"/>
          <w:sz w:val="24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5"/>
          <w:sz w:val="24"/>
          <w:highlight w:val="none"/>
        </w:rPr>
        <w:t>，</w:t>
      </w:r>
      <w:r>
        <w:rPr>
          <w:rFonts w:eastAsia="Times New Roman"/>
          <w:color w:val="auto"/>
          <w:spacing w:val="-5"/>
          <w:sz w:val="24"/>
          <w:highlight w:val="none"/>
        </w:rPr>
        <w:t>0-</w:t>
      </w:r>
      <w:r>
        <w:rPr>
          <w:rFonts w:hint="eastAsia"/>
          <w:color w:val="auto"/>
          <w:spacing w:val="-5"/>
          <w:sz w:val="24"/>
          <w:highlight w:val="none"/>
        </w:rPr>
        <w:t>4</w:t>
      </w:r>
      <w:r>
        <w:rPr>
          <w:rFonts w:eastAsia="Times New Roman"/>
          <w:color w:val="auto"/>
          <w:spacing w:val="-5"/>
          <w:sz w:val="24"/>
          <w:highlight w:val="none"/>
        </w:rPr>
        <w:t>kN</w:t>
      </w:r>
      <w:r>
        <w:rPr>
          <w:rFonts w:hint="eastAsia"/>
          <w:color w:val="auto"/>
          <w:spacing w:val="-5"/>
          <w:sz w:val="24"/>
          <w:highlight w:val="none"/>
        </w:rPr>
        <w:t>条件下，</w:t>
      </w:r>
      <w:r>
        <w:rPr>
          <w:color w:val="auto"/>
          <w:sz w:val="24"/>
          <w:highlight w:val="none"/>
        </w:rPr>
        <w:t>疲劳寿命</w:t>
      </w:r>
      <w:r>
        <w:rPr>
          <w:rFonts w:hint="eastAsia"/>
          <w:color w:val="auto"/>
          <w:sz w:val="24"/>
          <w:highlight w:val="none"/>
        </w:rPr>
        <w:t>不小于</w:t>
      </w:r>
      <w:r>
        <w:rPr>
          <w:color w:val="auto"/>
          <w:sz w:val="24"/>
          <w:highlight w:val="none"/>
        </w:rPr>
        <w:t>1</w:t>
      </w:r>
      <w:r>
        <w:rPr>
          <w:rFonts w:hint="eastAsia"/>
          <w:color w:val="auto"/>
          <w:sz w:val="24"/>
          <w:highlight w:val="none"/>
        </w:rPr>
        <w:t>5</w:t>
      </w:r>
      <w:r>
        <w:rPr>
          <w:color w:val="auto"/>
          <w:sz w:val="24"/>
          <w:highlight w:val="none"/>
        </w:rPr>
        <w:t>000次。</w:t>
      </w:r>
    </w:p>
    <w:p w14:paraId="426D915F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</w:p>
    <w:p w14:paraId="5F756267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</w:t>
      </w:r>
      <w:r>
        <w:rPr>
          <w:rFonts w:hint="eastAsia"/>
          <w:color w:val="auto"/>
          <w:sz w:val="24"/>
          <w:highlight w:val="none"/>
        </w:rPr>
        <w:t>3.</w:t>
      </w:r>
      <w:r>
        <w:rPr>
          <w:color w:val="auto"/>
          <w:sz w:val="24"/>
          <w:highlight w:val="none"/>
        </w:rPr>
        <w:t>9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color w:val="auto"/>
          <w:sz w:val="24"/>
          <w:highlight w:val="none"/>
        </w:rPr>
        <w:t>钨串的轮廓度</w:t>
      </w:r>
    </w:p>
    <w:p w14:paraId="569A25FC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1） 钨串</w:t>
      </w:r>
      <w:r>
        <w:rPr>
          <w:rFonts w:hint="eastAsia"/>
          <w:color w:val="auto"/>
          <w:sz w:val="24"/>
          <w:highlight w:val="none"/>
        </w:rPr>
        <w:t>通过工装组装成靶板，靶板</w:t>
      </w:r>
      <w:r>
        <w:rPr>
          <w:color w:val="auto"/>
          <w:sz w:val="24"/>
          <w:highlight w:val="none"/>
        </w:rPr>
        <w:t>面向等离子体侧的轮廓度≤0.</w:t>
      </w:r>
      <w:r>
        <w:rPr>
          <w:rFonts w:hint="eastAsia"/>
          <w:color w:val="auto"/>
          <w:sz w:val="24"/>
          <w:highlight w:val="none"/>
        </w:rPr>
        <w:t>4</w:t>
      </w:r>
      <w:r>
        <w:rPr>
          <w:color w:val="auto"/>
          <w:sz w:val="24"/>
          <w:highlight w:val="none"/>
        </w:rPr>
        <w:t>mm；</w:t>
      </w:r>
    </w:p>
    <w:p w14:paraId="2129D84C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2</w:t>
      </w:r>
      <w:r>
        <w:rPr>
          <w:color w:val="auto"/>
          <w:sz w:val="24"/>
          <w:highlight w:val="none"/>
        </w:rPr>
        <w:t xml:space="preserve">） </w:t>
      </w:r>
      <w:r>
        <w:rPr>
          <w:rFonts w:hint="eastAsia"/>
          <w:color w:val="auto"/>
          <w:sz w:val="24"/>
          <w:highlight w:val="none"/>
        </w:rPr>
        <w:t>钨块之间间隙0.4~0.6</w:t>
      </w:r>
      <w:r>
        <w:rPr>
          <w:color w:val="auto"/>
          <w:sz w:val="24"/>
          <w:highlight w:val="none"/>
        </w:rPr>
        <w:t>mm</w:t>
      </w:r>
      <w:r>
        <w:rPr>
          <w:rFonts w:hint="eastAsia"/>
          <w:color w:val="auto"/>
          <w:sz w:val="24"/>
          <w:highlight w:val="none"/>
        </w:rPr>
        <w:t>之间。</w:t>
      </w:r>
    </w:p>
    <w:p w14:paraId="42C07EA3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3） 轴向的扭曲不超过0.1mm。</w:t>
      </w:r>
    </w:p>
    <w:p w14:paraId="6D5E0AE1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</w:p>
    <w:p w14:paraId="0783548A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</w:t>
      </w:r>
      <w:r>
        <w:rPr>
          <w:rFonts w:hint="eastAsia"/>
          <w:color w:val="auto"/>
          <w:sz w:val="24"/>
          <w:highlight w:val="none"/>
        </w:rPr>
        <w:t>3.</w:t>
      </w:r>
      <w:r>
        <w:rPr>
          <w:color w:val="auto"/>
          <w:sz w:val="24"/>
          <w:highlight w:val="none"/>
        </w:rPr>
        <w:t>10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color w:val="auto"/>
          <w:sz w:val="24"/>
          <w:highlight w:val="none"/>
        </w:rPr>
        <w:t>钨串的尺寸精度</w:t>
      </w:r>
    </w:p>
    <w:p w14:paraId="39753422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1） 钨串总长度误差为±0.</w:t>
      </w:r>
      <w:r>
        <w:rPr>
          <w:rFonts w:hint="eastAsia"/>
          <w:color w:val="auto"/>
          <w:sz w:val="24"/>
          <w:highlight w:val="none"/>
        </w:rPr>
        <w:t>5</w:t>
      </w:r>
      <w:r>
        <w:rPr>
          <w:color w:val="auto"/>
          <w:sz w:val="24"/>
          <w:highlight w:val="none"/>
        </w:rPr>
        <w:t>mm</w:t>
      </w:r>
      <w:r>
        <w:rPr>
          <w:rFonts w:hint="eastAsia"/>
          <w:color w:val="auto"/>
          <w:sz w:val="24"/>
          <w:highlight w:val="none"/>
        </w:rPr>
        <w:t>（钨</w:t>
      </w:r>
      <w:r>
        <w:rPr>
          <w:color w:val="auto"/>
          <w:sz w:val="24"/>
          <w:highlight w:val="none"/>
        </w:rPr>
        <w:t>块</w:t>
      </w:r>
      <w:r>
        <w:rPr>
          <w:rFonts w:hint="eastAsia"/>
          <w:color w:val="auto"/>
          <w:sz w:val="24"/>
          <w:highlight w:val="none"/>
        </w:rPr>
        <w:t>端</w:t>
      </w:r>
      <w:r>
        <w:rPr>
          <w:color w:val="auto"/>
          <w:sz w:val="24"/>
          <w:highlight w:val="none"/>
        </w:rPr>
        <w:t>面之间的距离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color w:val="auto"/>
          <w:sz w:val="24"/>
          <w:highlight w:val="none"/>
        </w:rPr>
        <w:t>；</w:t>
      </w:r>
    </w:p>
    <w:p w14:paraId="5905C110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2） 宽度方向误差为±0.1mm。</w:t>
      </w:r>
    </w:p>
    <w:p w14:paraId="3A3DCF32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</w:p>
    <w:p w14:paraId="43281ECE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</w:t>
      </w:r>
      <w:r>
        <w:rPr>
          <w:rFonts w:hint="eastAsia"/>
          <w:color w:val="auto"/>
          <w:sz w:val="24"/>
          <w:highlight w:val="none"/>
        </w:rPr>
        <w:t>3.</w:t>
      </w:r>
      <w:r>
        <w:rPr>
          <w:color w:val="auto"/>
          <w:sz w:val="24"/>
          <w:highlight w:val="none"/>
        </w:rPr>
        <w:t>11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color w:val="auto"/>
          <w:sz w:val="24"/>
          <w:highlight w:val="none"/>
        </w:rPr>
        <w:t>密封性能要求</w:t>
      </w:r>
    </w:p>
    <w:p w14:paraId="1DFF94C3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1）真空</w:t>
      </w:r>
      <w:r>
        <w:rPr>
          <w:rFonts w:hint="eastAsia"/>
          <w:color w:val="auto"/>
          <w:sz w:val="24"/>
          <w:highlight w:val="none"/>
        </w:rPr>
        <w:t>检漏</w:t>
      </w:r>
    </w:p>
    <w:p w14:paraId="76D51172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室温条件下，真空漏率</w:t>
      </w:r>
      <w:r>
        <w:rPr>
          <w:rFonts w:hint="eastAsia"/>
          <w:color w:val="auto"/>
          <w:sz w:val="24"/>
          <w:highlight w:val="none"/>
        </w:rPr>
        <w:t>≦</w:t>
      </w:r>
      <w:r>
        <w:rPr>
          <w:color w:val="auto"/>
          <w:sz w:val="24"/>
          <w:highlight w:val="none"/>
        </w:rPr>
        <w:t>1.0×10</w:t>
      </w:r>
      <w:r>
        <w:rPr>
          <w:color w:val="auto"/>
          <w:sz w:val="24"/>
          <w:highlight w:val="none"/>
          <w:vertAlign w:val="superscript"/>
        </w:rPr>
        <w:t>-10</w:t>
      </w:r>
      <w:r>
        <w:rPr>
          <w:color w:val="auto"/>
          <w:sz w:val="24"/>
          <w:highlight w:val="none"/>
        </w:rPr>
        <w:t>Pa.m</w:t>
      </w:r>
      <w:r>
        <w:rPr>
          <w:color w:val="auto"/>
          <w:sz w:val="24"/>
          <w:highlight w:val="none"/>
          <w:vertAlign w:val="superscript"/>
        </w:rPr>
        <w:t>3</w:t>
      </w:r>
      <w:r>
        <w:rPr>
          <w:color w:val="auto"/>
          <w:sz w:val="24"/>
          <w:highlight w:val="none"/>
        </w:rPr>
        <w:t>/s；</w:t>
      </w:r>
    </w:p>
    <w:p w14:paraId="1A0543A4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2）</w:t>
      </w:r>
      <w:r>
        <w:rPr>
          <w:rFonts w:hint="eastAsia"/>
          <w:color w:val="auto"/>
          <w:sz w:val="24"/>
          <w:highlight w:val="none"/>
        </w:rPr>
        <w:t>真空</w:t>
      </w:r>
      <w:r>
        <w:rPr>
          <w:color w:val="auto"/>
          <w:sz w:val="24"/>
          <w:highlight w:val="none"/>
        </w:rPr>
        <w:t>环境下烘烤检漏</w:t>
      </w:r>
    </w:p>
    <w:p w14:paraId="1E7E6F81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a.将被测试件放入真空室内，对冷却通道内通入3.8MPa的氦气，保压30分钟，测试真空漏率，漏率</w:t>
      </w:r>
      <w:r>
        <w:rPr>
          <w:rFonts w:hint="eastAsia"/>
          <w:color w:val="auto"/>
          <w:sz w:val="24"/>
          <w:highlight w:val="none"/>
        </w:rPr>
        <w:t>≦</w:t>
      </w:r>
      <w:r>
        <w:rPr>
          <w:color w:val="auto"/>
          <w:sz w:val="24"/>
          <w:highlight w:val="none"/>
        </w:rPr>
        <w:t>1.0×10</w:t>
      </w:r>
      <w:r>
        <w:rPr>
          <w:color w:val="auto"/>
          <w:sz w:val="24"/>
          <w:highlight w:val="none"/>
          <w:vertAlign w:val="superscript"/>
        </w:rPr>
        <w:t>-10</w:t>
      </w:r>
      <w:r>
        <w:rPr>
          <w:color w:val="auto"/>
          <w:sz w:val="24"/>
          <w:highlight w:val="none"/>
        </w:rPr>
        <w:t>Pa.m</w:t>
      </w:r>
      <w:r>
        <w:rPr>
          <w:color w:val="auto"/>
          <w:sz w:val="24"/>
          <w:highlight w:val="none"/>
          <w:vertAlign w:val="superscript"/>
        </w:rPr>
        <w:t>3</w:t>
      </w:r>
      <w:r>
        <w:rPr>
          <w:color w:val="auto"/>
          <w:sz w:val="24"/>
          <w:highlight w:val="none"/>
        </w:rPr>
        <w:t>/s；</w:t>
      </w:r>
    </w:p>
    <w:p w14:paraId="2B3BE99A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b.再将被测试件加温至2</w:t>
      </w:r>
      <w:r>
        <w:rPr>
          <w:rFonts w:hint="eastAsia"/>
          <w:color w:val="auto"/>
          <w:sz w:val="24"/>
          <w:highlight w:val="none"/>
        </w:rPr>
        <w:t>5</w:t>
      </w:r>
      <w:r>
        <w:rPr>
          <w:color w:val="auto"/>
          <w:sz w:val="24"/>
          <w:highlight w:val="none"/>
        </w:rPr>
        <w:t>0°C，保温2小时。在冷却通道内通入3MPa氦气，保压30分钟，测试漏率，漏率</w:t>
      </w:r>
      <w:r>
        <w:rPr>
          <w:rFonts w:hint="eastAsia"/>
          <w:color w:val="auto"/>
          <w:sz w:val="24"/>
          <w:highlight w:val="none"/>
        </w:rPr>
        <w:t>≦</w:t>
      </w:r>
      <w:r>
        <w:rPr>
          <w:color w:val="auto"/>
          <w:sz w:val="24"/>
          <w:highlight w:val="none"/>
        </w:rPr>
        <w:t>1.0×10</w:t>
      </w:r>
      <w:r>
        <w:rPr>
          <w:color w:val="auto"/>
          <w:sz w:val="24"/>
          <w:highlight w:val="none"/>
          <w:vertAlign w:val="superscript"/>
        </w:rPr>
        <w:t>-8</w:t>
      </w:r>
      <w:r>
        <w:rPr>
          <w:color w:val="auto"/>
          <w:sz w:val="24"/>
          <w:highlight w:val="none"/>
        </w:rPr>
        <w:t>Pa.m</w:t>
      </w:r>
      <w:r>
        <w:rPr>
          <w:color w:val="auto"/>
          <w:sz w:val="24"/>
          <w:highlight w:val="none"/>
          <w:vertAlign w:val="superscript"/>
        </w:rPr>
        <w:t>3</w:t>
      </w:r>
      <w:r>
        <w:rPr>
          <w:color w:val="auto"/>
          <w:sz w:val="24"/>
          <w:highlight w:val="none"/>
        </w:rPr>
        <w:t>/s；</w:t>
      </w:r>
    </w:p>
    <w:p w14:paraId="7DEFC12F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c.降至常温后再通入3.8MPa的氦气，保压30分钟，测试漏率，漏率</w:t>
      </w:r>
      <w:r>
        <w:rPr>
          <w:rFonts w:hint="eastAsia"/>
          <w:color w:val="auto"/>
          <w:sz w:val="24"/>
          <w:highlight w:val="none"/>
        </w:rPr>
        <w:t>≦</w:t>
      </w:r>
      <w:r>
        <w:rPr>
          <w:color w:val="auto"/>
          <w:sz w:val="24"/>
          <w:highlight w:val="none"/>
        </w:rPr>
        <w:t>1.0×10</w:t>
      </w:r>
      <w:r>
        <w:rPr>
          <w:color w:val="auto"/>
          <w:sz w:val="24"/>
          <w:highlight w:val="none"/>
          <w:vertAlign w:val="superscript"/>
        </w:rPr>
        <w:t>-10</w:t>
      </w:r>
      <w:r>
        <w:rPr>
          <w:color w:val="auto"/>
          <w:sz w:val="24"/>
          <w:highlight w:val="none"/>
        </w:rPr>
        <w:t>Pa.m</w:t>
      </w:r>
      <w:r>
        <w:rPr>
          <w:color w:val="auto"/>
          <w:sz w:val="24"/>
          <w:highlight w:val="none"/>
          <w:vertAlign w:val="superscript"/>
        </w:rPr>
        <w:t>3</w:t>
      </w:r>
      <w:r>
        <w:rPr>
          <w:color w:val="auto"/>
          <w:sz w:val="24"/>
          <w:highlight w:val="none"/>
        </w:rPr>
        <w:t>/s；</w:t>
      </w:r>
    </w:p>
    <w:p w14:paraId="11E03FC6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d.再将被测试件加温至2</w:t>
      </w:r>
      <w:r>
        <w:rPr>
          <w:rFonts w:hint="eastAsia"/>
          <w:color w:val="auto"/>
          <w:sz w:val="24"/>
          <w:highlight w:val="none"/>
        </w:rPr>
        <w:t>5</w:t>
      </w:r>
      <w:r>
        <w:rPr>
          <w:color w:val="auto"/>
          <w:sz w:val="24"/>
          <w:highlight w:val="none"/>
        </w:rPr>
        <w:t>0°C，保温2小时。在冷却通道内通入3MPa氦气，保压30分钟，测试漏率，漏率</w:t>
      </w:r>
      <w:r>
        <w:rPr>
          <w:rFonts w:hint="eastAsia"/>
          <w:color w:val="auto"/>
          <w:sz w:val="24"/>
          <w:highlight w:val="none"/>
        </w:rPr>
        <w:t>≦</w:t>
      </w:r>
      <w:r>
        <w:rPr>
          <w:color w:val="auto"/>
          <w:sz w:val="24"/>
          <w:highlight w:val="none"/>
        </w:rPr>
        <w:t>1.0×10</w:t>
      </w:r>
      <w:r>
        <w:rPr>
          <w:color w:val="auto"/>
          <w:sz w:val="24"/>
          <w:highlight w:val="none"/>
          <w:vertAlign w:val="superscript"/>
        </w:rPr>
        <w:t>-8</w:t>
      </w:r>
      <w:r>
        <w:rPr>
          <w:color w:val="auto"/>
          <w:sz w:val="24"/>
          <w:highlight w:val="none"/>
        </w:rPr>
        <w:t>Pa.m</w:t>
      </w:r>
      <w:r>
        <w:rPr>
          <w:color w:val="auto"/>
          <w:sz w:val="24"/>
          <w:highlight w:val="none"/>
          <w:vertAlign w:val="superscript"/>
        </w:rPr>
        <w:t>3</w:t>
      </w:r>
      <w:r>
        <w:rPr>
          <w:color w:val="auto"/>
          <w:sz w:val="24"/>
          <w:highlight w:val="none"/>
        </w:rPr>
        <w:t>/s；</w:t>
      </w:r>
    </w:p>
    <w:p w14:paraId="5B0C3AD5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e.再降至常温后再通入3.8MPa的氦气，保压30分钟，测试漏率，漏率</w:t>
      </w:r>
      <w:r>
        <w:rPr>
          <w:rFonts w:hint="eastAsia"/>
          <w:color w:val="auto"/>
          <w:sz w:val="24"/>
          <w:highlight w:val="none"/>
        </w:rPr>
        <w:t>≦</w:t>
      </w:r>
      <w:r>
        <w:rPr>
          <w:color w:val="auto"/>
          <w:sz w:val="24"/>
          <w:highlight w:val="none"/>
        </w:rPr>
        <w:t>1.0×10</w:t>
      </w:r>
      <w:r>
        <w:rPr>
          <w:color w:val="auto"/>
          <w:sz w:val="24"/>
          <w:highlight w:val="none"/>
          <w:vertAlign w:val="superscript"/>
        </w:rPr>
        <w:t>-10</w:t>
      </w:r>
      <w:r>
        <w:rPr>
          <w:color w:val="auto"/>
          <w:sz w:val="24"/>
          <w:highlight w:val="none"/>
        </w:rPr>
        <w:t>Pa.m</w:t>
      </w:r>
      <w:r>
        <w:rPr>
          <w:color w:val="auto"/>
          <w:sz w:val="24"/>
          <w:highlight w:val="none"/>
          <w:vertAlign w:val="superscript"/>
        </w:rPr>
        <w:t>3</w:t>
      </w:r>
      <w:r>
        <w:rPr>
          <w:color w:val="auto"/>
          <w:sz w:val="24"/>
          <w:highlight w:val="none"/>
        </w:rPr>
        <w:t>/s。</w:t>
      </w:r>
    </w:p>
    <w:p w14:paraId="595274AF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4、</w:t>
      </w:r>
      <w:r>
        <w:rPr>
          <w:b/>
          <w:color w:val="auto"/>
          <w:sz w:val="24"/>
          <w:highlight w:val="none"/>
        </w:rPr>
        <w:t xml:space="preserve"> 技术服务要求及质保要求</w:t>
      </w:r>
    </w:p>
    <w:p w14:paraId="5C81DB9D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中标人</w:t>
      </w:r>
      <w:r>
        <w:rPr>
          <w:rFonts w:ascii="宋体" w:hAnsi="宋体"/>
          <w:color w:val="auto"/>
          <w:sz w:val="24"/>
          <w:highlight w:val="none"/>
        </w:rPr>
        <w:t>提供货物</w:t>
      </w:r>
      <w:r>
        <w:rPr>
          <w:rFonts w:hint="eastAsia" w:ascii="宋体" w:hAnsi="宋体"/>
          <w:color w:val="auto"/>
          <w:sz w:val="24"/>
          <w:highlight w:val="none"/>
        </w:rPr>
        <w:t>时，</w:t>
      </w:r>
      <w:r>
        <w:rPr>
          <w:rFonts w:ascii="宋体" w:hAnsi="宋体"/>
          <w:color w:val="auto"/>
          <w:sz w:val="24"/>
          <w:highlight w:val="none"/>
        </w:rPr>
        <w:t>必须提供</w:t>
      </w:r>
      <w:r>
        <w:rPr>
          <w:rFonts w:hint="eastAsia" w:ascii="宋体" w:hAnsi="宋体"/>
          <w:color w:val="auto"/>
          <w:sz w:val="24"/>
          <w:highlight w:val="none"/>
        </w:rPr>
        <w:t>以下材料</w:t>
      </w:r>
      <w:r>
        <w:rPr>
          <w:rFonts w:ascii="宋体" w:hAnsi="宋体"/>
          <w:color w:val="auto"/>
          <w:sz w:val="24"/>
          <w:highlight w:val="none"/>
        </w:rPr>
        <w:t>：</w:t>
      </w:r>
    </w:p>
    <w:p w14:paraId="123D3775">
      <w:pPr>
        <w:numPr>
          <w:ilvl w:val="0"/>
          <w:numId w:val="1"/>
        </w:numPr>
        <w:spacing w:line="360" w:lineRule="auto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实物</w:t>
      </w:r>
    </w:p>
    <w:p w14:paraId="2F0016A5">
      <w:pPr>
        <w:numPr>
          <w:ilvl w:val="0"/>
          <w:numId w:val="2"/>
        </w:numPr>
        <w:spacing w:line="360" w:lineRule="auto"/>
        <w:ind w:left="959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按要求清洗；</w:t>
      </w:r>
    </w:p>
    <w:p w14:paraId="2E7B19A3">
      <w:pPr>
        <w:numPr>
          <w:ilvl w:val="0"/>
          <w:numId w:val="3"/>
        </w:numPr>
        <w:spacing w:line="360" w:lineRule="auto"/>
        <w:ind w:left="1143" w:leftChars="350" w:hanging="408" w:hangingChars="170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超声波</w:t>
      </w:r>
      <w:r>
        <w:rPr>
          <w:rFonts w:ascii="宋体" w:hAnsi="宋体"/>
          <w:bCs/>
          <w:color w:val="auto"/>
          <w:kern w:val="28"/>
          <w:sz w:val="24"/>
          <w:highlight w:val="none"/>
        </w:rPr>
        <w:t>清洗：在去离子水中进行长时间（</w:t>
      </w: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4小时</w:t>
      </w:r>
      <w:r>
        <w:rPr>
          <w:rFonts w:ascii="宋体" w:hAnsi="宋体"/>
          <w:bCs/>
          <w:color w:val="auto"/>
          <w:kern w:val="28"/>
          <w:sz w:val="24"/>
          <w:highlight w:val="none"/>
        </w:rPr>
        <w:t>）</w:t>
      </w: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清洗</w:t>
      </w:r>
      <w:r>
        <w:rPr>
          <w:rFonts w:ascii="宋体" w:hAnsi="宋体"/>
          <w:bCs/>
          <w:color w:val="auto"/>
          <w:kern w:val="28"/>
          <w:sz w:val="24"/>
          <w:highlight w:val="none"/>
        </w:rPr>
        <w:t>，</w:t>
      </w: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以</w:t>
      </w:r>
      <w:r>
        <w:rPr>
          <w:rFonts w:ascii="宋体" w:hAnsi="宋体"/>
          <w:bCs/>
          <w:color w:val="auto"/>
          <w:kern w:val="28"/>
          <w:sz w:val="24"/>
          <w:highlight w:val="none"/>
        </w:rPr>
        <w:t>除表面</w:t>
      </w: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粘附物为</w:t>
      </w:r>
      <w:r>
        <w:rPr>
          <w:rFonts w:ascii="宋体" w:hAnsi="宋体"/>
          <w:bCs/>
          <w:color w:val="auto"/>
          <w:kern w:val="28"/>
          <w:sz w:val="24"/>
          <w:highlight w:val="none"/>
        </w:rPr>
        <w:t>主</w:t>
      </w: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；</w:t>
      </w:r>
    </w:p>
    <w:p w14:paraId="2C5FC4D9">
      <w:pPr>
        <w:numPr>
          <w:ilvl w:val="0"/>
          <w:numId w:val="3"/>
        </w:numPr>
        <w:spacing w:line="360" w:lineRule="auto"/>
        <w:ind w:left="1143" w:leftChars="350" w:hanging="408" w:hangingChars="170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去</w:t>
      </w:r>
      <w:r>
        <w:rPr>
          <w:rFonts w:ascii="宋体" w:hAnsi="宋体"/>
          <w:bCs/>
          <w:color w:val="auto"/>
          <w:kern w:val="28"/>
          <w:sz w:val="24"/>
          <w:highlight w:val="none"/>
        </w:rPr>
        <w:t>离子水冲刷</w:t>
      </w: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；</w:t>
      </w:r>
    </w:p>
    <w:p w14:paraId="5F113E2D">
      <w:pPr>
        <w:numPr>
          <w:ilvl w:val="0"/>
          <w:numId w:val="3"/>
        </w:numPr>
        <w:spacing w:line="360" w:lineRule="auto"/>
        <w:ind w:left="1143" w:leftChars="350" w:hanging="408" w:hangingChars="170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真空炉</w:t>
      </w:r>
      <w:r>
        <w:rPr>
          <w:rFonts w:ascii="宋体" w:hAnsi="宋体"/>
          <w:bCs/>
          <w:color w:val="auto"/>
          <w:kern w:val="28"/>
          <w:sz w:val="24"/>
          <w:highlight w:val="none"/>
        </w:rPr>
        <w:t>烘烤</w:t>
      </w: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：</w:t>
      </w:r>
      <w:r>
        <w:rPr>
          <w:rFonts w:ascii="宋体" w:hAnsi="宋体"/>
          <w:bCs/>
          <w:color w:val="auto"/>
          <w:kern w:val="28"/>
          <w:sz w:val="24"/>
          <w:highlight w:val="none"/>
        </w:rPr>
        <w:t>升温至</w:t>
      </w: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200</w:t>
      </w:r>
      <w:r>
        <w:rPr>
          <w:rFonts w:ascii="宋体" w:hAnsi="宋体"/>
          <w:bCs/>
          <w:color w:val="auto"/>
          <w:kern w:val="28"/>
          <w:sz w:val="24"/>
          <w:highlight w:val="none"/>
          <w:vertAlign w:val="superscript"/>
        </w:rPr>
        <w:t>o</w:t>
      </w:r>
      <w:r>
        <w:rPr>
          <w:rFonts w:ascii="宋体" w:hAnsi="宋体"/>
          <w:bCs/>
          <w:color w:val="auto"/>
          <w:kern w:val="28"/>
          <w:sz w:val="24"/>
          <w:highlight w:val="none"/>
        </w:rPr>
        <w:t>C，</w:t>
      </w: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保温2小时；</w:t>
      </w:r>
    </w:p>
    <w:p w14:paraId="6353521D">
      <w:pPr>
        <w:numPr>
          <w:ilvl w:val="0"/>
          <w:numId w:val="3"/>
        </w:numPr>
        <w:spacing w:line="360" w:lineRule="auto"/>
        <w:ind w:left="1143" w:leftChars="350" w:hanging="408" w:hangingChars="170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ascii="宋体" w:hAnsi="宋体"/>
          <w:bCs/>
          <w:color w:val="auto"/>
          <w:kern w:val="28"/>
          <w:sz w:val="24"/>
          <w:highlight w:val="none"/>
        </w:rPr>
        <w:t>避免用手</w:t>
      </w: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直接</w:t>
      </w:r>
      <w:r>
        <w:rPr>
          <w:rFonts w:ascii="宋体" w:hAnsi="宋体"/>
          <w:bCs/>
          <w:color w:val="auto"/>
          <w:kern w:val="28"/>
          <w:sz w:val="24"/>
          <w:highlight w:val="none"/>
        </w:rPr>
        <w:t>触摸。</w:t>
      </w:r>
    </w:p>
    <w:p w14:paraId="2E7890B6">
      <w:pPr>
        <w:numPr>
          <w:ilvl w:val="0"/>
          <w:numId w:val="2"/>
        </w:numPr>
        <w:spacing w:line="360" w:lineRule="auto"/>
        <w:ind w:left="959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真空包装、存放；</w:t>
      </w:r>
    </w:p>
    <w:p w14:paraId="0969DE10">
      <w:pPr>
        <w:numPr>
          <w:ilvl w:val="0"/>
          <w:numId w:val="1"/>
        </w:numPr>
        <w:spacing w:line="360" w:lineRule="auto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检验报告</w:t>
      </w:r>
    </w:p>
    <w:p w14:paraId="721C8CC1">
      <w:pPr>
        <w:numPr>
          <w:ilvl w:val="0"/>
          <w:numId w:val="4"/>
        </w:numPr>
        <w:spacing w:line="360" w:lineRule="auto"/>
        <w:ind w:left="959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技术要求提及的所有原材料的相关检测报告；</w:t>
      </w:r>
    </w:p>
    <w:p w14:paraId="5A9A6D5C">
      <w:pPr>
        <w:numPr>
          <w:ilvl w:val="0"/>
          <w:numId w:val="4"/>
        </w:numPr>
        <w:spacing w:line="360" w:lineRule="auto"/>
        <w:ind w:left="959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技术要求提及的强度测试报告；</w:t>
      </w:r>
    </w:p>
    <w:p w14:paraId="091F2DE2">
      <w:pPr>
        <w:numPr>
          <w:ilvl w:val="0"/>
          <w:numId w:val="4"/>
        </w:numPr>
        <w:spacing w:line="360" w:lineRule="auto"/>
        <w:ind w:left="959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无损探伤报告</w:t>
      </w:r>
      <w:r>
        <w:rPr>
          <w:rFonts w:ascii="宋体" w:hAnsi="宋体"/>
          <w:bCs/>
          <w:color w:val="auto"/>
          <w:kern w:val="28"/>
          <w:sz w:val="24"/>
          <w:highlight w:val="none"/>
        </w:rPr>
        <w:t>（</w:t>
      </w: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所有异种材料复合界面</w:t>
      </w:r>
      <w:r>
        <w:rPr>
          <w:rFonts w:ascii="宋体" w:hAnsi="宋体"/>
          <w:bCs/>
          <w:color w:val="auto"/>
          <w:kern w:val="28"/>
          <w:sz w:val="24"/>
          <w:highlight w:val="none"/>
        </w:rPr>
        <w:t>）</w:t>
      </w: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；</w:t>
      </w:r>
    </w:p>
    <w:p w14:paraId="1946B201">
      <w:pPr>
        <w:numPr>
          <w:ilvl w:val="0"/>
          <w:numId w:val="4"/>
        </w:numPr>
        <w:spacing w:line="360" w:lineRule="auto"/>
        <w:ind w:left="959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几何尺寸检验报告；</w:t>
      </w:r>
    </w:p>
    <w:p w14:paraId="5A74EAB0">
      <w:pPr>
        <w:numPr>
          <w:ilvl w:val="0"/>
          <w:numId w:val="4"/>
        </w:numPr>
        <w:spacing w:line="360" w:lineRule="auto"/>
        <w:ind w:left="959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密封性能检测报告；</w:t>
      </w:r>
    </w:p>
    <w:p w14:paraId="186EF04E">
      <w:pPr>
        <w:numPr>
          <w:ilvl w:val="0"/>
          <w:numId w:val="4"/>
        </w:numPr>
        <w:spacing w:line="360" w:lineRule="auto"/>
        <w:ind w:left="959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清洗记录单。</w:t>
      </w:r>
    </w:p>
    <w:p w14:paraId="4D4831AD">
      <w:pPr>
        <w:adjustRightInd w:val="0"/>
        <w:snapToGrid w:val="0"/>
        <w:spacing w:line="360" w:lineRule="auto"/>
        <w:ind w:firstLine="480" w:firstLineChars="200"/>
        <w:rPr>
          <w:rFonts w:ascii="宋体" w:hAnsi="宋体" w:cs="Arial"/>
          <w:b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质保期</w:t>
      </w:r>
      <w:r>
        <w:rPr>
          <w:rFonts w:ascii="宋体" w:hAnsi="宋体"/>
          <w:color w:val="auto"/>
          <w:sz w:val="24"/>
          <w:highlight w:val="none"/>
        </w:rPr>
        <w:t>至少一年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6CDFD311">
      <w:pPr>
        <w:adjustRightInd w:val="0"/>
        <w:snapToGrid w:val="0"/>
        <w:spacing w:before="120" w:beforeLines="50" w:line="360" w:lineRule="auto"/>
        <w:rPr>
          <w:rFonts w:hint="eastAsia"/>
          <w:color w:val="auto"/>
          <w:szCs w:val="21"/>
          <w:highlight w:val="none"/>
        </w:rPr>
      </w:pPr>
    </w:p>
    <w:p w14:paraId="27D21610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5、</w:t>
      </w:r>
      <w:r>
        <w:rPr>
          <w:b/>
          <w:color w:val="auto"/>
          <w:sz w:val="24"/>
          <w:highlight w:val="none"/>
        </w:rPr>
        <w:t>验收标准及验收程序</w:t>
      </w:r>
      <w:r>
        <w:rPr>
          <w:b/>
          <w:color w:val="auto"/>
          <w:sz w:val="24"/>
          <w:highlight w:val="none"/>
        </w:rPr>
        <w:tab/>
      </w:r>
    </w:p>
    <w:p w14:paraId="0EB01029">
      <w:pPr>
        <w:numPr>
          <w:ilvl w:val="0"/>
          <w:numId w:val="5"/>
        </w:numPr>
        <w:spacing w:line="360" w:lineRule="auto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实物和数量符合要求；</w:t>
      </w:r>
    </w:p>
    <w:p w14:paraId="4592841C">
      <w:pPr>
        <w:numPr>
          <w:ilvl w:val="0"/>
          <w:numId w:val="5"/>
        </w:numPr>
        <w:spacing w:line="360" w:lineRule="auto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检验报告完整；</w:t>
      </w:r>
    </w:p>
    <w:p w14:paraId="2810594C">
      <w:pPr>
        <w:numPr>
          <w:ilvl w:val="0"/>
          <w:numId w:val="5"/>
        </w:numPr>
        <w:spacing w:line="360" w:lineRule="auto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关键技术指标合格；</w:t>
      </w:r>
    </w:p>
    <w:p w14:paraId="0E273E9A">
      <w:pPr>
        <w:numPr>
          <w:ilvl w:val="0"/>
          <w:numId w:val="5"/>
        </w:numPr>
        <w:spacing w:line="360" w:lineRule="auto"/>
        <w:rPr>
          <w:rFonts w:ascii="宋体" w:hAnsi="宋体"/>
          <w:bCs/>
          <w:color w:val="auto"/>
          <w:kern w:val="28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28"/>
          <w:sz w:val="24"/>
          <w:highlight w:val="none"/>
        </w:rPr>
        <w:t>质保书。</w:t>
      </w:r>
    </w:p>
    <w:p w14:paraId="1609DA8C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</w:p>
    <w:p w14:paraId="2A8A8281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875A5"/>
    <w:multiLevelType w:val="multilevel"/>
    <w:tmpl w:val="223875A5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2454878"/>
    <w:multiLevelType w:val="multilevel"/>
    <w:tmpl w:val="32454878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4461588"/>
    <w:multiLevelType w:val="multilevel"/>
    <w:tmpl w:val="34461588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CCC4236"/>
    <w:multiLevelType w:val="multilevel"/>
    <w:tmpl w:val="5CCC4236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ECD337F"/>
    <w:multiLevelType w:val="multilevel"/>
    <w:tmpl w:val="5ECD33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E5D7E"/>
    <w:rsid w:val="1E6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2025-12-30T07:21:00Z</dcterms:created>
  <dc:creator>宋方方</dc:creator>
  <cp:lastModifiedBy>宋方方</cp:lastModifiedBy>
  <dcterms:modified xsi:type="dcterms:W3CDTF">2025-12-30T07:22:03Z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4FA3B2F3E4B347E3A1FEF8FD60FF1A73_11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