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EEADCC">
      <w:pPr>
        <w:pStyle w:val="2"/>
        <w:widowControl/>
        <w:snapToGrid w:val="0"/>
        <w:spacing w:before="0" w:after="0" w:line="360" w:lineRule="auto"/>
        <w:jc w:val="center"/>
        <w:rPr>
          <w:rFonts w:hint="eastAsia" w:ascii="宋体" w:hAnsi="宋体"/>
          <w:color w:val="auto"/>
          <w:highlight w:val="none"/>
        </w:rPr>
      </w:pPr>
      <w:r>
        <w:rPr>
          <w:rFonts w:hint="eastAsia" w:ascii="宋体" w:hAnsi="宋体"/>
          <w:color w:val="auto"/>
          <w:highlight w:val="none"/>
        </w:rPr>
        <w:t>采购需求及技术规格要求</w:t>
      </w:r>
    </w:p>
    <w:p w14:paraId="1A0321B3">
      <w:pPr>
        <w:adjustRightInd w:val="0"/>
        <w:snapToGrid w:val="0"/>
        <w:spacing w:before="120" w:beforeLines="50" w:after="144" w:afterLines="60" w:line="360" w:lineRule="auto"/>
        <w:rPr>
          <w:b/>
          <w:color w:val="auto"/>
          <w:sz w:val="24"/>
          <w:highlight w:val="none"/>
        </w:rPr>
      </w:pPr>
      <w:bookmarkStart w:id="0" w:name="_Hlk60938700"/>
      <w:r>
        <w:rPr>
          <w:b/>
          <w:color w:val="auto"/>
          <w:sz w:val="24"/>
          <w:highlight w:val="none"/>
        </w:rPr>
        <w:t>1</w:t>
      </w:r>
      <w:r>
        <w:rPr>
          <w:rFonts w:hint="eastAsia"/>
          <w:b/>
          <w:color w:val="auto"/>
          <w:sz w:val="24"/>
          <w:highlight w:val="none"/>
        </w:rPr>
        <w:t>、</w:t>
      </w:r>
      <w:r>
        <w:rPr>
          <w:b/>
          <w:color w:val="auto"/>
          <w:sz w:val="24"/>
          <w:highlight w:val="none"/>
        </w:rPr>
        <w:t>货物需求一览表</w:t>
      </w:r>
    </w:p>
    <w:tbl>
      <w:tblPr>
        <w:tblStyle w:val="4"/>
        <w:tblW w:w="7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3378"/>
        <w:gridCol w:w="1239"/>
        <w:gridCol w:w="1790"/>
      </w:tblGrid>
      <w:tr w14:paraId="3B385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noWrap w:val="0"/>
            <w:vAlign w:val="center"/>
          </w:tcPr>
          <w:p w14:paraId="0199FAC9">
            <w:pPr>
              <w:adjustRightInd w:val="0"/>
              <w:snapToGrid w:val="0"/>
              <w:jc w:val="center"/>
              <w:rPr>
                <w:rFonts w:ascii="宋体" w:hAnsi="宋体"/>
                <w:color w:val="auto"/>
                <w:szCs w:val="21"/>
                <w:highlight w:val="none"/>
              </w:rPr>
            </w:pPr>
            <w:r>
              <w:rPr>
                <w:rFonts w:hint="eastAsia" w:ascii="宋体" w:hAnsi="宋体"/>
                <w:color w:val="auto"/>
                <w:szCs w:val="21"/>
                <w:highlight w:val="none"/>
              </w:rPr>
              <w:t>序号</w:t>
            </w:r>
          </w:p>
        </w:tc>
        <w:tc>
          <w:tcPr>
            <w:tcW w:w="3378" w:type="dxa"/>
            <w:noWrap w:val="0"/>
            <w:vAlign w:val="center"/>
          </w:tcPr>
          <w:p w14:paraId="677B84C7">
            <w:pPr>
              <w:adjustRightInd w:val="0"/>
              <w:snapToGrid w:val="0"/>
              <w:jc w:val="center"/>
              <w:rPr>
                <w:rFonts w:ascii="宋体" w:hAnsi="宋体"/>
                <w:color w:val="auto"/>
                <w:szCs w:val="21"/>
                <w:highlight w:val="none"/>
              </w:rPr>
            </w:pPr>
            <w:r>
              <w:rPr>
                <w:rFonts w:hint="eastAsia" w:ascii="宋体" w:hAnsi="宋体"/>
                <w:color w:val="auto"/>
                <w:szCs w:val="21"/>
                <w:highlight w:val="none"/>
              </w:rPr>
              <w:t>货物名称</w:t>
            </w:r>
          </w:p>
        </w:tc>
        <w:tc>
          <w:tcPr>
            <w:tcW w:w="1239" w:type="dxa"/>
            <w:noWrap w:val="0"/>
            <w:vAlign w:val="center"/>
          </w:tcPr>
          <w:p w14:paraId="1CAE7B3B">
            <w:pPr>
              <w:adjustRightInd w:val="0"/>
              <w:snapToGrid w:val="0"/>
              <w:jc w:val="center"/>
              <w:rPr>
                <w:rFonts w:ascii="宋体" w:hAnsi="宋体"/>
                <w:color w:val="auto"/>
                <w:szCs w:val="21"/>
                <w:highlight w:val="none"/>
              </w:rPr>
            </w:pPr>
            <w:r>
              <w:rPr>
                <w:rFonts w:hint="eastAsia" w:ascii="宋体" w:hAnsi="宋体"/>
                <w:color w:val="auto"/>
                <w:szCs w:val="21"/>
                <w:highlight w:val="none"/>
              </w:rPr>
              <w:t>数量</w:t>
            </w:r>
          </w:p>
        </w:tc>
        <w:tc>
          <w:tcPr>
            <w:tcW w:w="1790" w:type="dxa"/>
            <w:noWrap w:val="0"/>
            <w:vAlign w:val="center"/>
          </w:tcPr>
          <w:p w14:paraId="4B0228F4">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备注</w:t>
            </w:r>
          </w:p>
        </w:tc>
      </w:tr>
      <w:tr w14:paraId="136B1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804" w:type="dxa"/>
            <w:noWrap w:val="0"/>
            <w:vAlign w:val="center"/>
          </w:tcPr>
          <w:p w14:paraId="385AA52C">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1</w:t>
            </w:r>
          </w:p>
        </w:tc>
        <w:tc>
          <w:tcPr>
            <w:tcW w:w="3378" w:type="dxa"/>
            <w:noWrap w:val="0"/>
            <w:vAlign w:val="center"/>
          </w:tcPr>
          <w:p w14:paraId="62448822">
            <w:pPr>
              <w:adjustRightInd w:val="0"/>
              <w:snapToGrid w:val="0"/>
              <w:jc w:val="center"/>
              <w:rPr>
                <w:rFonts w:ascii="宋体" w:hAnsi="宋体"/>
                <w:color w:val="auto"/>
                <w:szCs w:val="21"/>
                <w:highlight w:val="none"/>
              </w:rPr>
            </w:pPr>
            <w:r>
              <w:rPr>
                <w:rFonts w:hint="eastAsia" w:ascii="宋体" w:hAnsi="宋体"/>
                <w:color w:val="auto"/>
                <w:szCs w:val="21"/>
                <w:highlight w:val="none"/>
              </w:rPr>
              <w:t>包层维护机械臂系统</w:t>
            </w:r>
          </w:p>
        </w:tc>
        <w:tc>
          <w:tcPr>
            <w:tcW w:w="1239" w:type="dxa"/>
            <w:noWrap w:val="0"/>
            <w:vAlign w:val="center"/>
          </w:tcPr>
          <w:p w14:paraId="0366B0BC">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1</w:t>
            </w:r>
          </w:p>
        </w:tc>
        <w:tc>
          <w:tcPr>
            <w:tcW w:w="1790" w:type="dxa"/>
            <w:noWrap w:val="0"/>
            <w:vAlign w:val="center"/>
          </w:tcPr>
          <w:p w14:paraId="0EBA3C22">
            <w:pPr>
              <w:adjustRightInd w:val="0"/>
              <w:snapToGrid w:val="0"/>
              <w:jc w:val="center"/>
              <w:rPr>
                <w:rFonts w:ascii="宋体" w:hAnsi="宋体"/>
                <w:color w:val="auto"/>
                <w:szCs w:val="21"/>
                <w:highlight w:val="none"/>
              </w:rPr>
            </w:pPr>
            <w:r>
              <w:rPr>
                <w:rFonts w:hint="eastAsia" w:ascii="宋体" w:hAnsi="宋体"/>
                <w:color w:val="auto"/>
                <w:szCs w:val="21"/>
                <w:highlight w:val="none"/>
              </w:rPr>
              <w:t>\</w:t>
            </w:r>
          </w:p>
        </w:tc>
      </w:tr>
    </w:tbl>
    <w:p w14:paraId="460C2048">
      <w:pPr>
        <w:adjustRightInd w:val="0"/>
        <w:snapToGrid w:val="0"/>
        <w:spacing w:before="120" w:beforeLines="50" w:line="360" w:lineRule="auto"/>
        <w:rPr>
          <w:rFonts w:hint="eastAsia"/>
          <w:b/>
          <w:color w:val="auto"/>
          <w:sz w:val="24"/>
          <w:highlight w:val="none"/>
        </w:rPr>
      </w:pPr>
      <w:bookmarkStart w:id="1" w:name="_Toc532807472"/>
      <w:bookmarkStart w:id="2" w:name="_Toc257021215"/>
      <w:bookmarkStart w:id="3" w:name="_Toc30409514"/>
      <w:bookmarkStart w:id="4" w:name="_Toc509153917"/>
      <w:bookmarkStart w:id="5" w:name="_Toc12010788"/>
      <w:bookmarkStart w:id="6" w:name="_Toc12010815"/>
      <w:r>
        <w:rPr>
          <w:b/>
          <w:color w:val="auto"/>
          <w:sz w:val="24"/>
          <w:highlight w:val="none"/>
        </w:rPr>
        <w:t>2</w:t>
      </w:r>
      <w:r>
        <w:rPr>
          <w:rFonts w:hint="eastAsia"/>
          <w:b/>
          <w:color w:val="auto"/>
          <w:sz w:val="24"/>
          <w:highlight w:val="none"/>
        </w:rPr>
        <w:t>、</w:t>
      </w:r>
      <w:r>
        <w:rPr>
          <w:b/>
          <w:color w:val="auto"/>
          <w:sz w:val="24"/>
          <w:highlight w:val="none"/>
        </w:rPr>
        <w:t>工程技术要求</w:t>
      </w:r>
      <w:bookmarkStart w:id="16" w:name="_GoBack"/>
      <w:bookmarkEnd w:id="16"/>
    </w:p>
    <w:p w14:paraId="7BB8F37B">
      <w:pPr>
        <w:adjustRightInd w:val="0"/>
        <w:snapToGrid w:val="0"/>
        <w:spacing w:before="120" w:beforeLines="50" w:line="360" w:lineRule="auto"/>
        <w:rPr>
          <w:b/>
          <w:color w:val="auto"/>
          <w:sz w:val="24"/>
          <w:highlight w:val="none"/>
        </w:rPr>
      </w:pPr>
      <w:r>
        <w:rPr>
          <w:b/>
          <w:color w:val="auto"/>
          <w:sz w:val="24"/>
          <w:highlight w:val="none"/>
        </w:rPr>
        <w:t>2.</w:t>
      </w:r>
      <w:r>
        <w:rPr>
          <w:rFonts w:hint="eastAsia"/>
          <w:b/>
          <w:color w:val="auto"/>
          <w:sz w:val="24"/>
          <w:highlight w:val="none"/>
        </w:rPr>
        <w:t>1、</w:t>
      </w:r>
      <w:r>
        <w:rPr>
          <w:b/>
          <w:color w:val="auto"/>
          <w:sz w:val="24"/>
          <w:highlight w:val="none"/>
        </w:rPr>
        <w:t>设备的主要用途及功能</w:t>
      </w:r>
    </w:p>
    <w:bookmarkEnd w:id="0"/>
    <w:bookmarkEnd w:id="1"/>
    <w:bookmarkEnd w:id="2"/>
    <w:bookmarkEnd w:id="3"/>
    <w:bookmarkEnd w:id="4"/>
    <w:bookmarkEnd w:id="5"/>
    <w:bookmarkEnd w:id="6"/>
    <w:p w14:paraId="5C026C0A">
      <w:pPr>
        <w:spacing w:line="360" w:lineRule="auto"/>
        <w:ind w:firstLine="420"/>
        <w:rPr>
          <w:rFonts w:hint="eastAsia" w:ascii="宋体" w:hAnsi="宋体" w:cs="宋体"/>
          <w:color w:val="auto"/>
          <w:sz w:val="24"/>
          <w:highlight w:val="none"/>
        </w:rPr>
      </w:pPr>
      <w:r>
        <w:rPr>
          <w:rFonts w:hint="eastAsia" w:ascii="宋体" w:hAnsi="宋体" w:cs="宋体"/>
          <w:color w:val="auto"/>
          <w:sz w:val="24"/>
          <w:highlight w:val="none"/>
        </w:rPr>
        <w:t>聚变堆包层模块长期在堆芯极端环境下运行，需要定期进行拆换维护。中国科学院合肥物质科学研究院（等离子体物理研究所）承担聚变堆主机关键系统综合研究设施项目，需要搭建一套包层遥操作维护机械臂系统，实现对聚变堆大包层模块的安装、移除、位置检测等维护流程的验证。聚变堆的大包层模块负载可达60吨，垂直高度达7米左右，每个扇区有5个包层模块，其中高场侧包层2个，低场侧包层3个。为了实现对以上5个包层模块的拆装和运输，需要从真空室上垂直窗口引入包层维护机械臂系统来分别维护，其主要功能如下：</w:t>
      </w:r>
    </w:p>
    <w:p w14:paraId="62A77F2A">
      <w:pPr>
        <w:pStyle w:val="6"/>
        <w:widowControl/>
        <w:numPr>
          <w:ilvl w:val="0"/>
          <w:numId w:val="1"/>
        </w:numPr>
        <w:spacing w:line="360" w:lineRule="auto"/>
        <w:ind w:left="862" w:hanging="442" w:firstLineChars="0"/>
        <w:rPr>
          <w:color w:val="auto"/>
          <w:sz w:val="24"/>
          <w:highlight w:val="none"/>
        </w:rPr>
      </w:pPr>
      <w:r>
        <w:rPr>
          <w:rFonts w:hint="eastAsia"/>
          <w:color w:val="auto"/>
          <w:sz w:val="24"/>
          <w:highlight w:val="none"/>
        </w:rPr>
        <w:t>工作空间可以覆盖单个扇区内全部5个包层模块；</w:t>
      </w:r>
    </w:p>
    <w:p w14:paraId="386620D1">
      <w:pPr>
        <w:pStyle w:val="6"/>
        <w:widowControl/>
        <w:numPr>
          <w:ilvl w:val="0"/>
          <w:numId w:val="1"/>
        </w:numPr>
        <w:spacing w:line="360" w:lineRule="auto"/>
        <w:ind w:left="862" w:hanging="442" w:firstLineChars="0"/>
        <w:rPr>
          <w:color w:val="auto"/>
          <w:sz w:val="24"/>
          <w:highlight w:val="none"/>
        </w:rPr>
      </w:pPr>
      <w:r>
        <w:rPr>
          <w:rFonts w:hint="eastAsia"/>
          <w:color w:val="auto"/>
          <w:sz w:val="24"/>
          <w:highlight w:val="none"/>
        </w:rPr>
        <w:t>能够自动实现与包层模块的可靠连接，防止包层模块的意外坠落；</w:t>
      </w:r>
    </w:p>
    <w:p w14:paraId="047BD4B2">
      <w:pPr>
        <w:pStyle w:val="6"/>
        <w:widowControl/>
        <w:numPr>
          <w:ilvl w:val="0"/>
          <w:numId w:val="1"/>
        </w:numPr>
        <w:spacing w:line="360" w:lineRule="auto"/>
        <w:ind w:left="862" w:hanging="442" w:firstLineChars="0"/>
        <w:rPr>
          <w:color w:val="auto"/>
          <w:sz w:val="24"/>
          <w:highlight w:val="none"/>
        </w:rPr>
      </w:pPr>
      <w:r>
        <w:rPr>
          <w:rFonts w:hint="eastAsia"/>
          <w:color w:val="auto"/>
          <w:sz w:val="24"/>
          <w:highlight w:val="none"/>
        </w:rPr>
        <w:t>能够实现包层模块与其支撑结构的可靠分离或精准落位；</w:t>
      </w:r>
    </w:p>
    <w:p w14:paraId="4E384088">
      <w:pPr>
        <w:pStyle w:val="6"/>
        <w:widowControl/>
        <w:numPr>
          <w:ilvl w:val="0"/>
          <w:numId w:val="1"/>
        </w:numPr>
        <w:spacing w:line="360" w:lineRule="auto"/>
        <w:ind w:left="862" w:hanging="442" w:firstLineChars="0"/>
        <w:rPr>
          <w:color w:val="auto"/>
          <w:sz w:val="24"/>
          <w:highlight w:val="none"/>
        </w:rPr>
      </w:pPr>
      <w:r>
        <w:rPr>
          <w:rFonts w:hint="eastAsia"/>
          <w:color w:val="auto"/>
          <w:sz w:val="24"/>
          <w:highlight w:val="none"/>
        </w:rPr>
        <w:t>能够抓取包层模块沿着指定路径运动，并跟踪包层模块的空间位置和姿态，实现包层模块安全无碰撞的运输；</w:t>
      </w:r>
    </w:p>
    <w:p w14:paraId="7341730A">
      <w:pPr>
        <w:pStyle w:val="6"/>
        <w:widowControl/>
        <w:numPr>
          <w:ilvl w:val="0"/>
          <w:numId w:val="1"/>
        </w:numPr>
        <w:spacing w:line="360" w:lineRule="auto"/>
        <w:ind w:left="862" w:hanging="442" w:firstLineChars="0"/>
        <w:rPr>
          <w:rFonts w:hint="eastAsia"/>
          <w:color w:val="auto"/>
          <w:sz w:val="24"/>
          <w:highlight w:val="none"/>
        </w:rPr>
      </w:pPr>
      <w:r>
        <w:rPr>
          <w:rFonts w:hint="eastAsia"/>
          <w:color w:val="auto"/>
          <w:sz w:val="24"/>
          <w:highlight w:val="none"/>
        </w:rPr>
        <w:t>能够监测机械臂系统运行状态，避免意外碰撞或过载导致的安全风险。</w:t>
      </w:r>
    </w:p>
    <w:p w14:paraId="3B2C4594">
      <w:pPr>
        <w:widowControl/>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机械臂系统的工作空间应能满足单个扇区全部5块包层的移出与安装。机械臂前端应具有抓取锁紧结构，保证在运动过程中对包层的牢固抓取，且整个运动过程中不得发生明显的碰撞或过载。</w:t>
      </w:r>
    </w:p>
    <w:p w14:paraId="2ABFBB7A">
      <w:pPr>
        <w:widowControl/>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从垂直上窗口俯视，5个包层模块的布局如</w:t>
      </w:r>
      <w:r>
        <w:rPr>
          <w:rFonts w:hint="eastAsia" w:ascii="宋体" w:hAnsi="宋体" w:cs="宋体"/>
          <w:color w:val="auto"/>
          <w:sz w:val="24"/>
          <w:highlight w:val="none"/>
        </w:rPr>
        <w:fldChar w:fldCharType="begin"/>
      </w:r>
      <w:r>
        <w:rPr>
          <w:rFonts w:hint="eastAsia" w:ascii="宋体" w:hAnsi="宋体" w:cs="宋体"/>
          <w:color w:val="auto"/>
          <w:sz w:val="24"/>
          <w:highlight w:val="none"/>
        </w:rPr>
        <w:instrText xml:space="preserve"> REF _Ref9525 \h </w:instrText>
      </w:r>
      <w:r>
        <w:rPr>
          <w:rFonts w:hint="eastAsia" w:ascii="宋体" w:hAnsi="宋体" w:cs="宋体"/>
          <w:color w:val="auto"/>
          <w:sz w:val="24"/>
          <w:highlight w:val="none"/>
        </w:rPr>
        <w:fldChar w:fldCharType="separate"/>
      </w:r>
      <w:r>
        <w:rPr>
          <w:rFonts w:hint="eastAsia" w:ascii="宋体" w:hAnsi="宋体" w:cs="宋体"/>
          <w:color w:val="auto"/>
          <w:sz w:val="24"/>
          <w:highlight w:val="none"/>
        </w:rPr>
        <w:t>图 1</w:t>
      </w:r>
      <w:r>
        <w:rPr>
          <w:rFonts w:hint="eastAsia" w:ascii="宋体" w:hAnsi="宋体" w:cs="宋体"/>
          <w:color w:val="auto"/>
          <w:sz w:val="24"/>
          <w:highlight w:val="none"/>
        </w:rPr>
        <w:fldChar w:fldCharType="end"/>
      </w:r>
      <w:r>
        <w:rPr>
          <w:rFonts w:hint="eastAsia" w:ascii="宋体" w:hAnsi="宋体" w:cs="宋体"/>
          <w:color w:val="auto"/>
          <w:sz w:val="24"/>
          <w:highlight w:val="none"/>
        </w:rPr>
        <w:t>所示。包层模块的移出顺序为：L1→L2，L3→H1→H2，安装顺序则按相反进行。</w:t>
      </w:r>
      <w:r>
        <w:rPr>
          <w:rFonts w:hint="eastAsia" w:ascii="宋体" w:hAnsi="宋体" w:cs="宋体"/>
          <w:color w:val="auto"/>
          <w:sz w:val="24"/>
          <w:highlight w:val="none"/>
        </w:rPr>
        <w:fldChar w:fldCharType="begin"/>
      </w:r>
      <w:r>
        <w:rPr>
          <w:rFonts w:hint="eastAsia" w:ascii="宋体" w:hAnsi="宋体" w:cs="宋体"/>
          <w:color w:val="auto"/>
          <w:sz w:val="24"/>
          <w:highlight w:val="none"/>
        </w:rPr>
        <w:instrText xml:space="preserve"> REF _Ref9525 \h </w:instrText>
      </w:r>
      <w:r>
        <w:rPr>
          <w:rFonts w:hint="eastAsia" w:ascii="宋体" w:hAnsi="宋体" w:cs="宋体"/>
          <w:color w:val="auto"/>
          <w:sz w:val="24"/>
          <w:highlight w:val="none"/>
        </w:rPr>
        <w:fldChar w:fldCharType="separate"/>
      </w:r>
      <w:r>
        <w:rPr>
          <w:rFonts w:hint="eastAsia" w:ascii="宋体" w:hAnsi="宋体" w:cs="宋体"/>
          <w:color w:val="auto"/>
          <w:sz w:val="24"/>
          <w:highlight w:val="none"/>
        </w:rPr>
        <w:t>图 1</w:t>
      </w:r>
      <w:r>
        <w:rPr>
          <w:rFonts w:hint="eastAsia" w:ascii="宋体" w:hAnsi="宋体" w:cs="宋体"/>
          <w:color w:val="auto"/>
          <w:sz w:val="24"/>
          <w:highlight w:val="none"/>
        </w:rPr>
        <w:fldChar w:fldCharType="end"/>
      </w:r>
      <w:r>
        <w:rPr>
          <w:rFonts w:hint="eastAsia" w:ascii="宋体" w:hAnsi="宋体" w:cs="宋体"/>
          <w:color w:val="auto"/>
          <w:sz w:val="24"/>
          <w:highlight w:val="none"/>
        </w:rPr>
        <w:t>给出了包层模块与机械臂末端对接接口的初步布局。考虑到包层模块抓取位置与其重心不共线，机械臂结构需具备承受其重力负载及由此产生的偏力矩负载的能力。</w:t>
      </w:r>
    </w:p>
    <w:p w14:paraId="284B8AA7">
      <w:pPr>
        <w:keepNext/>
        <w:widowControl/>
        <w:spacing w:line="360" w:lineRule="auto"/>
        <w:jc w:val="center"/>
        <w:rPr>
          <w:color w:val="auto"/>
          <w:highlight w:val="none"/>
        </w:rPr>
      </w:pPr>
      <w:r>
        <w:rPr>
          <w:rFonts w:hint="eastAsia"/>
          <w:color w:val="auto"/>
          <w:highlight w:val="none"/>
        </w:rPr>
        <w:t xml:space="preserve"> </w:t>
      </w:r>
      <w:r>
        <w:rPr>
          <w:color w:val="auto"/>
          <w:highlight w:val="none"/>
        </w:rPr>
        <w:t xml:space="preserve"> </w:t>
      </w:r>
      <w:r>
        <w:rPr>
          <w:color w:val="auto"/>
          <w:highlight w:val="none"/>
        </w:rPr>
        <w:drawing>
          <wp:inline distT="0" distB="0" distL="114300" distR="114300">
            <wp:extent cx="4299585" cy="2374265"/>
            <wp:effectExtent l="0" t="0" r="13335" b="31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4299585" cy="2374265"/>
                    </a:xfrm>
                    <a:prstGeom prst="rect">
                      <a:avLst/>
                    </a:prstGeom>
                    <a:noFill/>
                    <a:ln>
                      <a:noFill/>
                    </a:ln>
                  </pic:spPr>
                </pic:pic>
              </a:graphicData>
            </a:graphic>
          </wp:inline>
        </w:drawing>
      </w:r>
    </w:p>
    <w:p w14:paraId="59D19C89">
      <w:pPr>
        <w:pStyle w:val="3"/>
        <w:jc w:val="center"/>
        <w:rPr>
          <w:rFonts w:hint="eastAsia"/>
          <w:color w:val="auto"/>
          <w:highlight w:val="none"/>
        </w:rPr>
      </w:pPr>
      <w:bookmarkStart w:id="7" w:name="_Ref9525"/>
      <w:r>
        <w:rPr>
          <w:rFonts w:hint="eastAsia"/>
          <w:color w:val="auto"/>
          <w:highlight w:val="none"/>
        </w:rPr>
        <w:t xml:space="preserve">图 </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 \* ARABIC</w:instrText>
      </w:r>
      <w:r>
        <w:rPr>
          <w:color w:val="auto"/>
          <w:highlight w:val="none"/>
        </w:rPr>
        <w:instrText xml:space="preserve"> </w:instrText>
      </w:r>
      <w:r>
        <w:rPr>
          <w:color w:val="auto"/>
          <w:highlight w:val="none"/>
        </w:rPr>
        <w:fldChar w:fldCharType="separate"/>
      </w:r>
      <w:r>
        <w:rPr>
          <w:rFonts w:hint="eastAsia"/>
          <w:color w:val="auto"/>
          <w:highlight w:val="none"/>
        </w:rPr>
        <w:t>1</w:t>
      </w:r>
      <w:r>
        <w:rPr>
          <w:color w:val="auto"/>
          <w:highlight w:val="none"/>
        </w:rPr>
        <w:fldChar w:fldCharType="end"/>
      </w:r>
      <w:bookmarkEnd w:id="7"/>
      <w:r>
        <w:rPr>
          <w:color w:val="auto"/>
          <w:highlight w:val="none"/>
        </w:rPr>
        <w:t xml:space="preserve"> </w:t>
      </w:r>
      <w:r>
        <w:rPr>
          <w:rFonts w:hint="eastAsia"/>
          <w:color w:val="auto"/>
          <w:highlight w:val="none"/>
        </w:rPr>
        <w:t>每个扇区内5个</w:t>
      </w:r>
      <w:r>
        <w:rPr>
          <w:color w:val="auto"/>
          <w:highlight w:val="none"/>
        </w:rPr>
        <w:t>包层模块</w:t>
      </w:r>
      <w:r>
        <w:rPr>
          <w:rFonts w:hint="eastAsia"/>
          <w:color w:val="auto"/>
          <w:highlight w:val="none"/>
        </w:rPr>
        <w:t>布局示意图</w:t>
      </w:r>
    </w:p>
    <w:p w14:paraId="7D48B52C">
      <w:pPr>
        <w:widowControl/>
        <w:spacing w:line="360" w:lineRule="auto"/>
        <w:ind w:firstLine="482" w:firstLineChars="200"/>
        <w:rPr>
          <w:rFonts w:hint="eastAsia" w:ascii="宋体" w:hAnsi="宋体" w:cs="宋体"/>
          <w:color w:val="auto"/>
          <w:sz w:val="24"/>
          <w:highlight w:val="none"/>
        </w:rPr>
      </w:pPr>
      <w:r>
        <w:rPr>
          <w:rFonts w:hint="eastAsia" w:ascii="宋体" w:hAnsi="宋体" w:cs="宋体"/>
          <w:b/>
          <w:bCs/>
          <w:color w:val="auto"/>
          <w:sz w:val="24"/>
          <w:highlight w:val="none"/>
        </w:rPr>
        <w:t>由于聚变堆园区八分之一真空室平台现场条件限制，包层模块无法完全移出真空室，因此最终集成测试时只存在1个高场侧包层模块，1个低场侧包层模块：如高场侧仅放置H1包层，低场侧仅放置L2包层（或者对称的H2、L3包层），分别进行H1和L2包层的拆装测试，要求H1包层和L2包层的运输路径不能与当前未维护的包层模块发生干涉。</w:t>
      </w:r>
    </w:p>
    <w:p w14:paraId="04132CA7">
      <w:pPr>
        <w:widowControl/>
        <w:spacing w:line="360" w:lineRule="auto"/>
        <w:ind w:firstLine="480" w:firstLineChars="200"/>
        <w:rPr>
          <w:rFonts w:hint="eastAsia"/>
          <w:color w:val="auto"/>
          <w:sz w:val="24"/>
          <w:highlight w:val="none"/>
        </w:rPr>
      </w:pPr>
      <w:r>
        <w:rPr>
          <w:rFonts w:hint="eastAsia" w:ascii="宋体" w:hAnsi="宋体" w:cs="宋体"/>
          <w:color w:val="auto"/>
          <w:sz w:val="24"/>
          <w:highlight w:val="none"/>
        </w:rPr>
        <w:t>包层维护机械</w:t>
      </w:r>
      <w:r>
        <w:rPr>
          <w:rFonts w:hint="eastAsia"/>
          <w:color w:val="auto"/>
          <w:sz w:val="24"/>
          <w:highlight w:val="none"/>
        </w:rPr>
        <w:t>臂系统应包含至少6个自由度，以便完成5个包层模块的抓取、姿态调整、移动、提升等动作。最终集成测试时，需验证机械臂系统能否覆盖扇区内5块包层的抓取位置。其中低场侧、高场侧包层模块的轮廓尺寸、支撑结构和重心范围分别如</w:t>
      </w:r>
      <w:r>
        <w:rPr>
          <w:color w:val="auto"/>
          <w:sz w:val="24"/>
          <w:highlight w:val="none"/>
        </w:rPr>
        <w:fldChar w:fldCharType="begin"/>
      </w:r>
      <w:r>
        <w:rPr>
          <w:color w:val="auto"/>
          <w:sz w:val="24"/>
          <w:highlight w:val="none"/>
        </w:rPr>
        <w:instrText xml:space="preserve"> </w:instrText>
      </w:r>
      <w:r>
        <w:rPr>
          <w:rFonts w:hint="eastAsia"/>
          <w:color w:val="auto"/>
          <w:sz w:val="24"/>
          <w:highlight w:val="none"/>
        </w:rPr>
        <w:instrText xml:space="preserve">REF _Ref153393619 \h</w:instrText>
      </w:r>
      <w:r>
        <w:rPr>
          <w:color w:val="auto"/>
          <w:sz w:val="24"/>
          <w:highlight w:val="none"/>
        </w:rPr>
        <w:instrText xml:space="preserve">  \* MERGEFORMAT </w:instrText>
      </w:r>
      <w:r>
        <w:rPr>
          <w:color w:val="auto"/>
          <w:sz w:val="24"/>
          <w:highlight w:val="none"/>
        </w:rPr>
        <w:fldChar w:fldCharType="separate"/>
      </w:r>
      <w:r>
        <w:rPr>
          <w:rFonts w:hint="eastAsia"/>
          <w:color w:val="auto"/>
          <w:sz w:val="24"/>
          <w:highlight w:val="none"/>
        </w:rPr>
        <w:t>图 2</w:t>
      </w:r>
      <w:r>
        <w:rPr>
          <w:color w:val="auto"/>
          <w:sz w:val="24"/>
          <w:highlight w:val="none"/>
        </w:rPr>
        <w:fldChar w:fldCharType="end"/>
      </w:r>
      <w:r>
        <w:rPr>
          <w:rFonts w:hint="eastAsia"/>
          <w:color w:val="auto"/>
          <w:sz w:val="24"/>
          <w:highlight w:val="none"/>
        </w:rPr>
        <w:t>和</w:t>
      </w:r>
      <w:r>
        <w:rPr>
          <w:color w:val="auto"/>
          <w:sz w:val="24"/>
          <w:highlight w:val="none"/>
        </w:rPr>
        <w:fldChar w:fldCharType="begin"/>
      </w:r>
      <w:r>
        <w:rPr>
          <w:color w:val="auto"/>
          <w:sz w:val="24"/>
          <w:highlight w:val="none"/>
        </w:rPr>
        <w:instrText xml:space="preserve"> REF _Ref218498764 \h  \* MERGEFORMAT </w:instrText>
      </w:r>
      <w:r>
        <w:rPr>
          <w:color w:val="auto"/>
          <w:sz w:val="24"/>
          <w:highlight w:val="none"/>
        </w:rPr>
        <w:fldChar w:fldCharType="separate"/>
      </w:r>
      <w:r>
        <w:rPr>
          <w:rFonts w:hint="eastAsia"/>
          <w:color w:val="auto"/>
          <w:sz w:val="24"/>
          <w:highlight w:val="none"/>
        </w:rPr>
        <w:t>图 3</w:t>
      </w:r>
      <w:r>
        <w:rPr>
          <w:color w:val="auto"/>
          <w:sz w:val="24"/>
          <w:highlight w:val="none"/>
        </w:rPr>
        <w:fldChar w:fldCharType="end"/>
      </w:r>
      <w:r>
        <w:rPr>
          <w:rFonts w:hint="eastAsia"/>
          <w:color w:val="auto"/>
          <w:sz w:val="24"/>
          <w:highlight w:val="none"/>
        </w:rPr>
        <w:t>所示（单位mm）。单个高场侧或低场侧包层模块在环向上的重心位置处于其自身对称面上。</w:t>
      </w:r>
    </w:p>
    <w:p w14:paraId="1FBD9768">
      <w:pPr>
        <w:keepNext/>
        <w:widowControl/>
        <w:spacing w:line="360" w:lineRule="auto"/>
        <w:jc w:val="center"/>
        <w:rPr>
          <w:color w:val="auto"/>
          <w:highlight w:val="none"/>
        </w:rPr>
      </w:pPr>
      <w:r>
        <w:rPr>
          <w:color w:val="auto"/>
          <w:highlight w:val="none"/>
        </w:rPr>
        <w:drawing>
          <wp:inline distT="0" distB="0" distL="114300" distR="114300">
            <wp:extent cx="4364355" cy="4025265"/>
            <wp:effectExtent l="0" t="0" r="9525" b="133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
                    <a:stretch>
                      <a:fillRect/>
                    </a:stretch>
                  </pic:blipFill>
                  <pic:spPr>
                    <a:xfrm>
                      <a:off x="0" y="0"/>
                      <a:ext cx="4364355" cy="4025265"/>
                    </a:xfrm>
                    <a:prstGeom prst="rect">
                      <a:avLst/>
                    </a:prstGeom>
                    <a:noFill/>
                    <a:ln>
                      <a:noFill/>
                    </a:ln>
                  </pic:spPr>
                </pic:pic>
              </a:graphicData>
            </a:graphic>
          </wp:inline>
        </w:drawing>
      </w:r>
    </w:p>
    <w:p w14:paraId="6866F397">
      <w:pPr>
        <w:pStyle w:val="3"/>
        <w:jc w:val="center"/>
        <w:rPr>
          <w:color w:val="auto"/>
          <w:highlight w:val="none"/>
        </w:rPr>
      </w:pPr>
      <w:bookmarkStart w:id="8" w:name="_Ref153393619"/>
      <w:r>
        <w:rPr>
          <w:rFonts w:hint="eastAsia"/>
          <w:color w:val="auto"/>
          <w:highlight w:val="none"/>
        </w:rPr>
        <w:t xml:space="preserve">图 </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 \* ARABIC</w:instrText>
      </w:r>
      <w:r>
        <w:rPr>
          <w:color w:val="auto"/>
          <w:highlight w:val="none"/>
        </w:rPr>
        <w:instrText xml:space="preserve"> </w:instrText>
      </w:r>
      <w:r>
        <w:rPr>
          <w:color w:val="auto"/>
          <w:highlight w:val="none"/>
        </w:rPr>
        <w:fldChar w:fldCharType="separate"/>
      </w:r>
      <w:r>
        <w:rPr>
          <w:rFonts w:hint="eastAsia"/>
          <w:color w:val="auto"/>
          <w:highlight w:val="none"/>
        </w:rPr>
        <w:t>2</w:t>
      </w:r>
      <w:r>
        <w:rPr>
          <w:color w:val="auto"/>
          <w:highlight w:val="none"/>
        </w:rPr>
        <w:fldChar w:fldCharType="end"/>
      </w:r>
      <w:bookmarkEnd w:id="8"/>
      <w:r>
        <w:rPr>
          <w:color w:val="auto"/>
          <w:highlight w:val="none"/>
        </w:rPr>
        <w:t xml:space="preserve"> </w:t>
      </w:r>
      <w:r>
        <w:rPr>
          <w:rFonts w:hint="eastAsia"/>
          <w:color w:val="auto"/>
          <w:highlight w:val="none"/>
        </w:rPr>
        <w:t>低场侧包层模块及其支撑结构整体布局</w:t>
      </w:r>
    </w:p>
    <w:p w14:paraId="2963277F">
      <w:pPr>
        <w:keepNext/>
        <w:jc w:val="center"/>
        <w:rPr>
          <w:color w:val="auto"/>
          <w:highlight w:val="none"/>
        </w:rPr>
      </w:pPr>
      <w:r>
        <w:rPr>
          <w:color w:val="auto"/>
          <w:highlight w:val="none"/>
        </w:rPr>
        <w:drawing>
          <wp:inline distT="0" distB="0" distL="114300" distR="114300">
            <wp:extent cx="3305810" cy="3544570"/>
            <wp:effectExtent l="0" t="0" r="1270" b="635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6"/>
                    <a:stretch>
                      <a:fillRect/>
                    </a:stretch>
                  </pic:blipFill>
                  <pic:spPr>
                    <a:xfrm>
                      <a:off x="0" y="0"/>
                      <a:ext cx="3305810" cy="3544570"/>
                    </a:xfrm>
                    <a:prstGeom prst="rect">
                      <a:avLst/>
                    </a:prstGeom>
                    <a:noFill/>
                    <a:ln>
                      <a:noFill/>
                    </a:ln>
                  </pic:spPr>
                </pic:pic>
              </a:graphicData>
            </a:graphic>
          </wp:inline>
        </w:drawing>
      </w:r>
    </w:p>
    <w:p w14:paraId="75202F15">
      <w:pPr>
        <w:pStyle w:val="3"/>
        <w:jc w:val="center"/>
        <w:rPr>
          <w:color w:val="auto"/>
          <w:highlight w:val="none"/>
        </w:rPr>
      </w:pPr>
      <w:bookmarkStart w:id="9" w:name="_Ref218498764"/>
      <w:r>
        <w:rPr>
          <w:rFonts w:hint="eastAsia"/>
          <w:color w:val="auto"/>
          <w:highlight w:val="none"/>
        </w:rPr>
        <w:t xml:space="preserve">图 </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 \* ARABIC</w:instrText>
      </w:r>
      <w:r>
        <w:rPr>
          <w:color w:val="auto"/>
          <w:highlight w:val="none"/>
        </w:rPr>
        <w:instrText xml:space="preserve"> </w:instrText>
      </w:r>
      <w:r>
        <w:rPr>
          <w:color w:val="auto"/>
          <w:highlight w:val="none"/>
        </w:rPr>
        <w:fldChar w:fldCharType="separate"/>
      </w:r>
      <w:r>
        <w:rPr>
          <w:rFonts w:hint="eastAsia"/>
          <w:color w:val="auto"/>
          <w:highlight w:val="none"/>
        </w:rPr>
        <w:t>3</w:t>
      </w:r>
      <w:r>
        <w:rPr>
          <w:color w:val="auto"/>
          <w:highlight w:val="none"/>
        </w:rPr>
        <w:fldChar w:fldCharType="end"/>
      </w:r>
      <w:bookmarkEnd w:id="9"/>
      <w:r>
        <w:rPr>
          <w:rFonts w:hint="eastAsia"/>
          <w:color w:val="auto"/>
          <w:highlight w:val="none"/>
        </w:rPr>
        <w:t>高场侧包层模块及其支撑结构整体布局</w:t>
      </w:r>
    </w:p>
    <w:p w14:paraId="6A518AE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包层维护机械臂系统须适应现有的真空室上窗口的接口设计要求。</w:t>
      </w:r>
    </w:p>
    <w:p w14:paraId="093EB412">
      <w:pPr>
        <w:widowControl/>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投标人需同时提供一套集成控制系统，用于控制包层维护机械臂系统各关节的运动控制、包层抓取对接孔的位置检测、机械臂负载状态监测、运行安全联锁保护等。</w:t>
      </w:r>
    </w:p>
    <w:p w14:paraId="53CB5FD1">
      <w:pPr>
        <w:spacing w:line="360" w:lineRule="auto"/>
        <w:ind w:firstLine="480" w:firstLineChars="200"/>
        <w:rPr>
          <w:color w:val="auto"/>
          <w:sz w:val="24"/>
          <w:highlight w:val="none"/>
        </w:rPr>
      </w:pPr>
      <w:r>
        <w:rPr>
          <w:rFonts w:hint="eastAsia"/>
          <w:color w:val="auto"/>
          <w:sz w:val="24"/>
          <w:highlight w:val="none"/>
        </w:rPr>
        <w:t>包层维护机械臂系统须进行如下两种测试，来验证系统性能：</w:t>
      </w:r>
    </w:p>
    <w:p w14:paraId="592A1B2D">
      <w:pPr>
        <w:pStyle w:val="6"/>
        <w:numPr>
          <w:ilvl w:val="0"/>
          <w:numId w:val="2"/>
        </w:numPr>
        <w:spacing w:line="360" w:lineRule="auto"/>
        <w:ind w:firstLineChars="0"/>
        <w:rPr>
          <w:bCs/>
          <w:color w:val="auto"/>
          <w:sz w:val="24"/>
          <w:highlight w:val="none"/>
        </w:rPr>
      </w:pPr>
      <w:r>
        <w:rPr>
          <w:rFonts w:hint="eastAsia"/>
          <w:bCs/>
          <w:color w:val="auto"/>
          <w:sz w:val="24"/>
          <w:highlight w:val="none"/>
        </w:rPr>
        <w:t>包层维护机械臂系统额定负载运行测试。此测试包层负载由配重砝码模拟相同的质量和重心，目标是验证整个机械臂系统的实际负载能力是否满足60吨低场侧包层，和50吨高场侧包层的可靠对接锁紧或分离、维护动作路径示教、重复位置精度等要求</w:t>
      </w:r>
      <w:r>
        <w:rPr>
          <w:rFonts w:hint="eastAsia"/>
          <w:color w:val="auto"/>
          <w:sz w:val="24"/>
          <w:highlight w:val="none"/>
        </w:rPr>
        <w:t>。</w:t>
      </w:r>
    </w:p>
    <w:p w14:paraId="05ADE0CF">
      <w:pPr>
        <w:pStyle w:val="6"/>
        <w:numPr>
          <w:ilvl w:val="0"/>
          <w:numId w:val="2"/>
        </w:numPr>
        <w:spacing w:line="360" w:lineRule="auto"/>
        <w:ind w:firstLineChars="0"/>
        <w:rPr>
          <w:rFonts w:hint="eastAsia"/>
          <w:bCs/>
          <w:color w:val="auto"/>
          <w:sz w:val="24"/>
          <w:highlight w:val="none"/>
        </w:rPr>
      </w:pPr>
      <w:r>
        <w:rPr>
          <w:rFonts w:hint="eastAsia"/>
          <w:color w:val="auto"/>
          <w:sz w:val="24"/>
          <w:highlight w:val="none"/>
        </w:rPr>
        <w:t>八分之一真空室平台集成安装测试。此测试中使用包层模拟样件，目标是验证</w:t>
      </w:r>
      <w:r>
        <w:rPr>
          <w:rFonts w:hint="eastAsia"/>
          <w:bCs/>
          <w:color w:val="auto"/>
          <w:sz w:val="24"/>
          <w:highlight w:val="none"/>
        </w:rPr>
        <w:t>包层维护机械臂系统的运动控制能力，包括在真空室内目标工作空间的抓取移动控制、包层抓取接口的识别定位能力、抓取包层后沿指定路径运动控制能力等。</w:t>
      </w:r>
    </w:p>
    <w:p w14:paraId="3C3F28B2">
      <w:pPr>
        <w:adjustRightInd w:val="0"/>
        <w:snapToGrid w:val="0"/>
        <w:spacing w:before="120" w:beforeLines="50" w:line="360" w:lineRule="auto"/>
        <w:rPr>
          <w:rFonts w:hint="eastAsia"/>
          <w:b/>
          <w:color w:val="auto"/>
          <w:sz w:val="24"/>
          <w:highlight w:val="none"/>
        </w:rPr>
      </w:pPr>
      <w:r>
        <w:rPr>
          <w:b/>
          <w:color w:val="auto"/>
          <w:sz w:val="24"/>
          <w:highlight w:val="none"/>
        </w:rPr>
        <w:t>2.</w:t>
      </w:r>
      <w:r>
        <w:rPr>
          <w:rFonts w:hint="eastAsia"/>
          <w:b/>
          <w:color w:val="auto"/>
          <w:sz w:val="24"/>
          <w:highlight w:val="none"/>
        </w:rPr>
        <w:t>2、</w:t>
      </w:r>
      <w:r>
        <w:rPr>
          <w:b/>
          <w:color w:val="auto"/>
          <w:sz w:val="24"/>
          <w:highlight w:val="none"/>
        </w:rPr>
        <w:t xml:space="preserve"> 工作条件</w:t>
      </w:r>
      <w:r>
        <w:rPr>
          <w:rFonts w:hint="eastAsia"/>
          <w:b/>
          <w:color w:val="auto"/>
          <w:sz w:val="24"/>
          <w:highlight w:val="none"/>
        </w:rPr>
        <w:t>及外观要求</w:t>
      </w:r>
    </w:p>
    <w:p w14:paraId="0E6CAED9">
      <w:pPr>
        <w:tabs>
          <w:tab w:val="left" w:pos="480"/>
        </w:tabs>
        <w:adjustRightInd w:val="0"/>
        <w:snapToGrid w:val="0"/>
        <w:spacing w:line="360" w:lineRule="auto"/>
        <w:ind w:left="-29" w:leftChars="-14" w:firstLine="508" w:firstLineChars="212"/>
        <w:rPr>
          <w:rFonts w:hint="eastAsia" w:ascii="宋体" w:hAnsi="宋体" w:cs="宋体"/>
          <w:color w:val="auto"/>
          <w:sz w:val="24"/>
          <w:highlight w:val="none"/>
        </w:rPr>
      </w:pPr>
      <w:r>
        <w:rPr>
          <w:rFonts w:hint="eastAsia" w:ascii="宋体" w:hAnsi="宋体" w:cs="宋体"/>
          <w:color w:val="auto"/>
          <w:sz w:val="24"/>
          <w:highlight w:val="none"/>
        </w:rPr>
        <w:t>包层维护机械臂系统上所有仪器、设备和系统都应符合下列要求：</w:t>
      </w:r>
    </w:p>
    <w:p w14:paraId="3849E6D0">
      <w:pPr>
        <w:numPr>
          <w:ilvl w:val="0"/>
          <w:numId w:val="3"/>
        </w:numPr>
        <w:tabs>
          <w:tab w:val="left" w:pos="480"/>
        </w:tabs>
        <w:adjustRightInd w:val="0"/>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系统应在最恶劣负载工况下，承受水平方向地震峰值加速度不低于0.1G（G表示标准重力加速度）的载荷，确保结构不发生破坏，并具备震后恢复运行能力，以支持包层负载的安全脱离。</w:t>
      </w:r>
    </w:p>
    <w:p w14:paraId="0A4D8B72">
      <w:pPr>
        <w:numPr>
          <w:ilvl w:val="0"/>
          <w:numId w:val="3"/>
        </w:numPr>
        <w:tabs>
          <w:tab w:val="left" w:pos="480"/>
        </w:tabs>
        <w:adjustRightInd w:val="0"/>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设备满足海拔高度&lt;1000米，室内无机械通风、空调和采暖条件下的正常使用；</w:t>
      </w:r>
    </w:p>
    <w:p w14:paraId="5E6B0C53">
      <w:pPr>
        <w:numPr>
          <w:ilvl w:val="0"/>
          <w:numId w:val="3"/>
        </w:numPr>
        <w:tabs>
          <w:tab w:val="left" w:pos="480"/>
        </w:tabs>
        <w:adjustRightInd w:val="0"/>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设备满足在气温-10℃～50℃和相对湿度90％的环境条件下运输和贮存；满足在气温5℃～40℃和相对湿度85％的环境条件下连续运行。</w:t>
      </w:r>
    </w:p>
    <w:p w14:paraId="511FC99E">
      <w:pPr>
        <w:numPr>
          <w:ilvl w:val="0"/>
          <w:numId w:val="3"/>
        </w:numPr>
        <w:tabs>
          <w:tab w:val="left" w:pos="480"/>
        </w:tabs>
        <w:adjustRightInd w:val="0"/>
        <w:snapToGrid w:val="0"/>
        <w:spacing w:line="360" w:lineRule="auto"/>
        <w:rPr>
          <w:rFonts w:hint="eastAsia" w:ascii="宋体" w:hAnsi="宋体" w:cs="宋体"/>
          <w:color w:val="auto"/>
          <w:sz w:val="24"/>
          <w:highlight w:val="none"/>
        </w:rPr>
      </w:pPr>
      <w:r>
        <w:rPr>
          <w:rFonts w:hint="eastAsia"/>
          <w:color w:val="auto"/>
          <w:sz w:val="24"/>
          <w:highlight w:val="none"/>
        </w:rPr>
        <w:t>设备表面应整洁光滑，涂覆层应附着牢固，无露底、针孔、脱皮，验收前所有表面应清洗干净，并做防锈处理；</w:t>
      </w:r>
    </w:p>
    <w:p w14:paraId="7EAE1058">
      <w:pPr>
        <w:numPr>
          <w:ilvl w:val="0"/>
          <w:numId w:val="3"/>
        </w:numPr>
        <w:tabs>
          <w:tab w:val="left" w:pos="480"/>
        </w:tabs>
        <w:adjustRightInd w:val="0"/>
        <w:snapToGrid w:val="0"/>
        <w:spacing w:line="360" w:lineRule="auto"/>
        <w:rPr>
          <w:rFonts w:hint="eastAsia" w:ascii="宋体" w:hAnsi="宋体" w:cs="宋体"/>
          <w:color w:val="auto"/>
          <w:sz w:val="24"/>
          <w:highlight w:val="none"/>
        </w:rPr>
      </w:pPr>
      <w:r>
        <w:rPr>
          <w:rFonts w:hint="eastAsia"/>
          <w:color w:val="auto"/>
          <w:sz w:val="24"/>
          <w:highlight w:val="none"/>
        </w:rPr>
        <w:t>设备所有的电源、电缆、走线设计合理、规范、布置整齐；</w:t>
      </w:r>
    </w:p>
    <w:p w14:paraId="776D4A89">
      <w:pPr>
        <w:numPr>
          <w:ilvl w:val="0"/>
          <w:numId w:val="3"/>
        </w:numPr>
        <w:tabs>
          <w:tab w:val="left" w:pos="480"/>
        </w:tabs>
        <w:adjustRightInd w:val="0"/>
        <w:snapToGrid w:val="0"/>
        <w:spacing w:line="360" w:lineRule="auto"/>
        <w:rPr>
          <w:rFonts w:hint="eastAsia" w:ascii="宋体" w:hAnsi="宋体" w:cs="宋体"/>
          <w:color w:val="auto"/>
          <w:sz w:val="24"/>
          <w:highlight w:val="none"/>
        </w:rPr>
      </w:pPr>
      <w:r>
        <w:rPr>
          <w:rFonts w:hint="eastAsia"/>
          <w:color w:val="auto"/>
          <w:sz w:val="24"/>
          <w:highlight w:val="none"/>
        </w:rPr>
        <w:t>所有铭牌为中英文对照，采用不锈钢板整体腐蚀而成；</w:t>
      </w:r>
    </w:p>
    <w:p w14:paraId="297E12E3">
      <w:pPr>
        <w:numPr>
          <w:ilvl w:val="0"/>
          <w:numId w:val="3"/>
        </w:numPr>
        <w:tabs>
          <w:tab w:val="left" w:pos="480"/>
        </w:tabs>
        <w:adjustRightInd w:val="0"/>
        <w:snapToGrid w:val="0"/>
        <w:spacing w:line="360" w:lineRule="auto"/>
        <w:rPr>
          <w:rFonts w:hint="eastAsia" w:ascii="宋体" w:hAnsi="宋体" w:cs="宋体"/>
          <w:color w:val="auto"/>
          <w:sz w:val="24"/>
          <w:highlight w:val="none"/>
        </w:rPr>
      </w:pPr>
      <w:r>
        <w:rPr>
          <w:rFonts w:hint="eastAsia"/>
          <w:color w:val="auto"/>
          <w:sz w:val="24"/>
          <w:highlight w:val="none"/>
        </w:rPr>
        <w:t>设备所有管线应有标识；电路、气路、液路管线要求布置合理，美观。并保证接头管线拆装、安装维修方便。</w:t>
      </w:r>
    </w:p>
    <w:p w14:paraId="51440AE3">
      <w:pPr>
        <w:adjustRightInd w:val="0"/>
        <w:snapToGrid w:val="0"/>
        <w:spacing w:before="120" w:beforeLines="50" w:line="360" w:lineRule="auto"/>
        <w:rPr>
          <w:b/>
          <w:color w:val="auto"/>
          <w:sz w:val="24"/>
          <w:highlight w:val="none"/>
        </w:rPr>
      </w:pPr>
      <w:r>
        <w:rPr>
          <w:b/>
          <w:color w:val="auto"/>
          <w:sz w:val="24"/>
          <w:highlight w:val="none"/>
        </w:rPr>
        <w:t>2.</w:t>
      </w:r>
      <w:r>
        <w:rPr>
          <w:rFonts w:hint="eastAsia"/>
          <w:b/>
          <w:color w:val="auto"/>
          <w:sz w:val="24"/>
          <w:highlight w:val="none"/>
        </w:rPr>
        <w:t>3、</w:t>
      </w:r>
      <w:r>
        <w:rPr>
          <w:b/>
          <w:color w:val="auto"/>
          <w:sz w:val="24"/>
          <w:highlight w:val="none"/>
        </w:rPr>
        <w:t xml:space="preserve"> 技术性能指标要求</w:t>
      </w:r>
    </w:p>
    <w:p w14:paraId="676E115C">
      <w:pPr>
        <w:numPr>
          <w:ilvl w:val="2"/>
          <w:numId w:val="4"/>
        </w:numPr>
        <w:spacing w:line="360" w:lineRule="auto"/>
        <w:rPr>
          <w:rFonts w:hint="eastAsia" w:ascii="宋体" w:hAnsi="宋体" w:cs="宋体"/>
          <w:b/>
          <w:bCs/>
          <w:color w:val="auto"/>
          <w:sz w:val="24"/>
          <w:highlight w:val="none"/>
        </w:rPr>
      </w:pPr>
      <w:r>
        <w:rPr>
          <w:rFonts w:hint="eastAsia" w:ascii="宋体" w:hAnsi="宋体" w:cs="宋体"/>
          <w:b/>
          <w:bCs/>
          <w:color w:val="auto"/>
          <w:sz w:val="24"/>
          <w:highlight w:val="none"/>
        </w:rPr>
        <w:t>设计要求</w:t>
      </w:r>
    </w:p>
    <w:p w14:paraId="3ED9B83F">
      <w:pPr>
        <w:widowControl/>
        <w:numPr>
          <w:ilvl w:val="0"/>
          <w:numId w:val="5"/>
        </w:numPr>
        <w:spacing w:line="360" w:lineRule="auto"/>
        <w:rPr>
          <w:rFonts w:hint="eastAsia" w:ascii="宋体" w:hAnsi="宋体" w:cs="宋体"/>
          <w:color w:val="auto"/>
          <w:sz w:val="24"/>
          <w:highlight w:val="none"/>
        </w:rPr>
      </w:pPr>
      <w:bookmarkStart w:id="10" w:name="_Toc126764814"/>
      <w:r>
        <w:rPr>
          <w:rFonts w:hint="eastAsia" w:ascii="宋体" w:hAnsi="宋体" w:cs="宋体"/>
          <w:color w:val="auto"/>
          <w:sz w:val="24"/>
          <w:highlight w:val="none"/>
        </w:rPr>
        <w:t>机械臂自由度：不少于6个；</w:t>
      </w:r>
    </w:p>
    <w:p w14:paraId="35899D60">
      <w:pPr>
        <w:widowControl/>
        <w:numPr>
          <w:ilvl w:val="0"/>
          <w:numId w:val="5"/>
        </w:numPr>
        <w:spacing w:line="360" w:lineRule="auto"/>
        <w:rPr>
          <w:rFonts w:ascii="宋体" w:hAnsi="宋体" w:cs="宋体"/>
          <w:color w:val="auto"/>
          <w:sz w:val="24"/>
          <w:highlight w:val="none"/>
        </w:rPr>
      </w:pPr>
      <w:r>
        <w:rPr>
          <w:rFonts w:hint="eastAsia" w:ascii="宋体" w:hAnsi="宋体" w:cs="宋体"/>
          <w:color w:val="auto"/>
          <w:sz w:val="24"/>
          <w:highlight w:val="none"/>
        </w:rPr>
        <w:t>负载要求：低场侧包层60吨，高场侧包层50吨；</w:t>
      </w:r>
    </w:p>
    <w:p w14:paraId="4049E07C">
      <w:pPr>
        <w:widowControl/>
        <w:numPr>
          <w:ilvl w:val="0"/>
          <w:numId w:val="5"/>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垂直提升系统有效行程：不小于10米；</w:t>
      </w:r>
    </w:p>
    <w:p w14:paraId="360AC217">
      <w:pPr>
        <w:widowControl/>
        <w:numPr>
          <w:ilvl w:val="0"/>
          <w:numId w:val="5"/>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包层模块设计高度：7.2米；</w:t>
      </w:r>
    </w:p>
    <w:p w14:paraId="0998F4B3">
      <w:pPr>
        <w:widowControl/>
        <w:numPr>
          <w:ilvl w:val="0"/>
          <w:numId w:val="5"/>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机械臂自重（吊重）：小于30吨；</w:t>
      </w:r>
    </w:p>
    <w:p w14:paraId="2F93B58A">
      <w:pPr>
        <w:widowControl/>
        <w:numPr>
          <w:ilvl w:val="0"/>
          <w:numId w:val="5"/>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负载不变条件下，机械臂末端重复定位精度：优于±5mm；</w:t>
      </w:r>
    </w:p>
    <w:p w14:paraId="68067700">
      <w:pPr>
        <w:widowControl/>
        <w:numPr>
          <w:ilvl w:val="0"/>
          <w:numId w:val="5"/>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驱动方式：电机或液压驱动；</w:t>
      </w:r>
    </w:p>
    <w:p w14:paraId="0F362DD2">
      <w:pPr>
        <w:widowControl/>
        <w:numPr>
          <w:ilvl w:val="0"/>
          <w:numId w:val="5"/>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材料：结构钢或高强度钢；</w:t>
      </w:r>
    </w:p>
    <w:p w14:paraId="3B0FEAD7">
      <w:pPr>
        <w:widowControl/>
        <w:numPr>
          <w:ilvl w:val="0"/>
          <w:numId w:val="5"/>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尺寸要求： </w:t>
      </w:r>
    </w:p>
    <w:p w14:paraId="5E99E85A">
      <w:pPr>
        <w:widowControl/>
        <w:numPr>
          <w:ilvl w:val="1"/>
          <w:numId w:val="6"/>
        </w:numPr>
        <w:spacing w:line="360" w:lineRule="auto"/>
        <w:rPr>
          <w:rFonts w:ascii="宋体" w:hAnsi="宋体" w:cs="宋体"/>
          <w:color w:val="auto"/>
          <w:sz w:val="24"/>
          <w:highlight w:val="none"/>
        </w:rPr>
      </w:pPr>
      <w:r>
        <w:rPr>
          <w:rFonts w:hint="eastAsia" w:ascii="宋体" w:hAnsi="宋体" w:cs="宋体"/>
          <w:color w:val="auto"/>
          <w:sz w:val="24"/>
          <w:highlight w:val="none"/>
        </w:rPr>
        <w:t>机械臂本体轮廓尺寸不大于4.0（长）* 2.4（宽）* 8.0（高）米；</w:t>
      </w:r>
    </w:p>
    <w:p w14:paraId="563521B4">
      <w:pPr>
        <w:widowControl/>
        <w:numPr>
          <w:ilvl w:val="1"/>
          <w:numId w:val="6"/>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与真空室垂直上窗口接口设计要求：机械臂本体应在</w:t>
      </w:r>
      <w:r>
        <w:rPr>
          <w:rFonts w:ascii="宋体" w:hAnsi="宋体" w:cs="宋体"/>
          <w:color w:val="auto"/>
          <w:sz w:val="24"/>
          <w:highlight w:val="none"/>
        </w:rPr>
        <w:fldChar w:fldCharType="begin"/>
      </w:r>
      <w:r>
        <w:rPr>
          <w:rFonts w:ascii="宋体" w:hAnsi="宋体" w:cs="宋体"/>
          <w:color w:val="auto"/>
          <w:sz w:val="24"/>
          <w:highlight w:val="none"/>
        </w:rPr>
        <w:instrText xml:space="preserve"> </w:instrText>
      </w:r>
      <w:r>
        <w:rPr>
          <w:rFonts w:hint="eastAsia" w:ascii="宋体" w:hAnsi="宋体" w:cs="宋体"/>
          <w:color w:val="auto"/>
          <w:sz w:val="24"/>
          <w:highlight w:val="none"/>
        </w:rPr>
        <w:instrText xml:space="preserve">REF _Ref153108079 \h</w:instrText>
      </w:r>
      <w:r>
        <w:rPr>
          <w:rFonts w:ascii="宋体" w:hAnsi="宋体" w:cs="宋体"/>
          <w:color w:val="auto"/>
          <w:sz w:val="24"/>
          <w:highlight w:val="none"/>
        </w:rPr>
        <w:instrText xml:space="preserve">  \* MERGEFORMAT </w:instrText>
      </w:r>
      <w:r>
        <w:rPr>
          <w:rFonts w:ascii="宋体" w:hAnsi="宋体" w:cs="宋体"/>
          <w:color w:val="auto"/>
          <w:sz w:val="24"/>
          <w:highlight w:val="none"/>
        </w:rPr>
        <w:fldChar w:fldCharType="separate"/>
      </w:r>
      <w:r>
        <w:rPr>
          <w:rFonts w:hint="eastAsia" w:ascii="宋体" w:hAnsi="宋体" w:cs="宋体"/>
          <w:color w:val="auto"/>
          <w:sz w:val="24"/>
          <w:highlight w:val="none"/>
        </w:rPr>
        <w:t>图 4</w:t>
      </w:r>
      <w:r>
        <w:rPr>
          <w:rFonts w:ascii="宋体" w:hAnsi="宋体" w:cs="宋体"/>
          <w:color w:val="auto"/>
          <w:sz w:val="24"/>
          <w:highlight w:val="none"/>
        </w:rPr>
        <w:fldChar w:fldCharType="end"/>
      </w:r>
      <w:r>
        <w:rPr>
          <w:rFonts w:hint="eastAsia" w:ascii="宋体" w:hAnsi="宋体" w:cs="宋体"/>
          <w:color w:val="auto"/>
          <w:sz w:val="24"/>
          <w:highlight w:val="none"/>
        </w:rPr>
        <w:t>所示的蓝色尺寸标注的梯形线框内移动，并保证与上窗口侧面保留足够的安全间隙；机械臂支撑框架以及垂直提升系统的水平投影应在</w:t>
      </w:r>
      <w:r>
        <w:rPr>
          <w:rFonts w:hint="eastAsia" w:ascii="宋体" w:hAnsi="宋体" w:cs="宋体"/>
          <w:color w:val="auto"/>
          <w:sz w:val="24"/>
          <w:highlight w:val="none"/>
        </w:rPr>
        <w:fldChar w:fldCharType="begin"/>
      </w:r>
      <w:r>
        <w:rPr>
          <w:rFonts w:hint="eastAsia" w:ascii="宋体" w:hAnsi="宋体" w:cs="宋体"/>
          <w:color w:val="auto"/>
          <w:sz w:val="24"/>
          <w:highlight w:val="none"/>
        </w:rPr>
        <w:instrText xml:space="preserve"> REF _Ref153108079 \h </w:instrText>
      </w:r>
      <w:r>
        <w:rPr>
          <w:rFonts w:hint="eastAsia" w:ascii="宋体" w:hAnsi="宋体" w:cs="宋体"/>
          <w:color w:val="auto"/>
          <w:sz w:val="24"/>
          <w:highlight w:val="none"/>
        </w:rPr>
        <w:fldChar w:fldCharType="separate"/>
      </w:r>
      <w:r>
        <w:rPr>
          <w:rFonts w:hint="eastAsia"/>
          <w:color w:val="auto"/>
          <w:highlight w:val="none"/>
        </w:rPr>
        <w:t>图 4</w:t>
      </w:r>
      <w:r>
        <w:rPr>
          <w:rFonts w:hint="eastAsia" w:ascii="宋体" w:hAnsi="宋体" w:cs="宋体"/>
          <w:color w:val="auto"/>
          <w:sz w:val="24"/>
          <w:highlight w:val="none"/>
        </w:rPr>
        <w:fldChar w:fldCharType="end"/>
      </w:r>
      <w:r>
        <w:rPr>
          <w:rFonts w:hint="eastAsia" w:ascii="宋体" w:hAnsi="宋体" w:cs="宋体"/>
          <w:color w:val="auto"/>
          <w:sz w:val="24"/>
          <w:highlight w:val="none"/>
        </w:rPr>
        <w:t>所示的绿色尺寸标注的梯形线框内。</w:t>
      </w:r>
    </w:p>
    <w:p w14:paraId="65927416">
      <w:pPr>
        <w:pStyle w:val="6"/>
        <w:keepNext/>
        <w:spacing w:line="360" w:lineRule="auto"/>
        <w:ind w:firstLine="0" w:firstLineChars="0"/>
        <w:jc w:val="center"/>
        <w:rPr>
          <w:rFonts w:hint="eastAsia"/>
          <w:color w:val="auto"/>
          <w:highlight w:val="none"/>
        </w:rPr>
      </w:pPr>
      <w:r>
        <w:rPr>
          <w:rFonts w:hint="eastAsia"/>
          <w:color w:val="auto"/>
          <w:highlight w:val="none"/>
        </w:rPr>
        <w:drawing>
          <wp:inline distT="0" distB="0" distL="114300" distR="114300">
            <wp:extent cx="2800985" cy="3951605"/>
            <wp:effectExtent l="0" t="0" r="10795" b="3175"/>
            <wp:docPr id="3" name="图片 4" descr="76aad70fa0de0f4ca5db6b6bdc12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76aad70fa0de0f4ca5db6b6bdc127709"/>
                    <pic:cNvPicPr>
                      <a:picLocks noChangeAspect="1"/>
                    </pic:cNvPicPr>
                  </pic:nvPicPr>
                  <pic:blipFill>
                    <a:blip r:embed="rId7"/>
                    <a:srcRect l="21555" r="22633"/>
                    <a:stretch>
                      <a:fillRect/>
                    </a:stretch>
                  </pic:blipFill>
                  <pic:spPr>
                    <a:xfrm rot="5400000">
                      <a:off x="0" y="0"/>
                      <a:ext cx="2800985" cy="3951605"/>
                    </a:xfrm>
                    <a:prstGeom prst="rect">
                      <a:avLst/>
                    </a:prstGeom>
                    <a:noFill/>
                    <a:ln>
                      <a:noFill/>
                    </a:ln>
                  </pic:spPr>
                </pic:pic>
              </a:graphicData>
            </a:graphic>
          </wp:inline>
        </w:drawing>
      </w:r>
    </w:p>
    <w:p w14:paraId="5123FC56">
      <w:pPr>
        <w:pStyle w:val="3"/>
        <w:jc w:val="center"/>
        <w:rPr>
          <w:color w:val="auto"/>
          <w:highlight w:val="none"/>
        </w:rPr>
      </w:pPr>
      <w:bookmarkStart w:id="11" w:name="_Ref153108079"/>
      <w:r>
        <w:rPr>
          <w:rFonts w:hint="eastAsia"/>
          <w:color w:val="auto"/>
          <w:highlight w:val="none"/>
        </w:rPr>
        <w:t xml:space="preserve">图 </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 \* ARABIC</w:instrText>
      </w:r>
      <w:r>
        <w:rPr>
          <w:color w:val="auto"/>
          <w:highlight w:val="none"/>
        </w:rPr>
        <w:instrText xml:space="preserve"> </w:instrText>
      </w:r>
      <w:r>
        <w:rPr>
          <w:color w:val="auto"/>
          <w:highlight w:val="none"/>
        </w:rPr>
        <w:fldChar w:fldCharType="separate"/>
      </w:r>
      <w:r>
        <w:rPr>
          <w:rFonts w:hint="eastAsia"/>
          <w:color w:val="auto"/>
          <w:highlight w:val="none"/>
        </w:rPr>
        <w:t>4</w:t>
      </w:r>
      <w:r>
        <w:rPr>
          <w:color w:val="auto"/>
          <w:highlight w:val="none"/>
        </w:rPr>
        <w:fldChar w:fldCharType="end"/>
      </w:r>
      <w:bookmarkEnd w:id="11"/>
      <w:r>
        <w:rPr>
          <w:color w:val="auto"/>
          <w:highlight w:val="none"/>
        </w:rPr>
        <w:t xml:space="preserve"> </w:t>
      </w:r>
      <w:r>
        <w:rPr>
          <w:rFonts w:hint="eastAsia"/>
          <w:color w:val="auto"/>
          <w:highlight w:val="none"/>
        </w:rPr>
        <w:t>垂直上窗口截面尺寸</w:t>
      </w:r>
    </w:p>
    <w:p w14:paraId="1AD93D29">
      <w:pPr>
        <w:widowControl/>
        <w:numPr>
          <w:ilvl w:val="1"/>
          <w:numId w:val="6"/>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与真空室上窗口转接法兰接口尺寸要求：机械臂支撑框架底部应与真空室上窗口法兰连接紧固，因此连接螺栓孔位应按上窗口法兰制作。</w:t>
      </w:r>
    </w:p>
    <w:p w14:paraId="6DFE4CF3">
      <w:pPr>
        <w:widowControl/>
        <w:numPr>
          <w:ilvl w:val="1"/>
          <w:numId w:val="6"/>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设备总高度限制要求：由于真空室现有高度及厂房吊车高度限制，机械臂系统在八分之一真空室上方集成设备的总高度，包含吊装时使用的吊装工装（吊梁、吊绳等）不超过9.5米，若超出该最大高度，投标方需要提供包层机械臂系统吊运安装方案。</w:t>
      </w:r>
    </w:p>
    <w:p w14:paraId="6BABE55B">
      <w:pPr>
        <w:widowControl/>
        <w:numPr>
          <w:ilvl w:val="0"/>
          <w:numId w:val="5"/>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系统应配置多种传感器，以便准备感知机械臂的运行状态，包括但不限于：位置编码器、应变片、相机、力/力矩传感器、接触开关、接近开关、温度传感器、测距传感器等；</w:t>
      </w:r>
    </w:p>
    <w:p w14:paraId="34C9BE96">
      <w:pPr>
        <w:widowControl/>
        <w:numPr>
          <w:ilvl w:val="0"/>
          <w:numId w:val="5"/>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提供一套包层模块位姿测量系统：要求位置测量精度优于2mm，支持同时动态跟踪至少4个目标点，用于计算包层模块的空间位置和姿态；</w:t>
      </w:r>
    </w:p>
    <w:p w14:paraId="4D714B8F">
      <w:pPr>
        <w:widowControl/>
        <w:numPr>
          <w:ilvl w:val="0"/>
          <w:numId w:val="5"/>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提供包层维护机械臂集成控制系统：</w:t>
      </w:r>
    </w:p>
    <w:p w14:paraId="5FA9EAD9">
      <w:pPr>
        <w:widowControl/>
        <w:numPr>
          <w:ilvl w:val="0"/>
          <w:numId w:val="7"/>
        </w:numPr>
        <w:spacing w:line="360" w:lineRule="auto"/>
        <w:rPr>
          <w:rFonts w:ascii="宋体" w:hAnsi="宋体" w:cs="宋体"/>
          <w:color w:val="auto"/>
          <w:sz w:val="24"/>
          <w:highlight w:val="none"/>
        </w:rPr>
      </w:pPr>
      <w:r>
        <w:rPr>
          <w:rFonts w:hint="eastAsia" w:ascii="宋体" w:hAnsi="宋体" w:cs="宋体"/>
          <w:color w:val="auto"/>
          <w:sz w:val="24"/>
          <w:highlight w:val="none"/>
        </w:rPr>
        <w:t>控制系统应能够满足机械臂系统的运行要求，通过采用闭环控制保证运行过程的平稳性和控制精度等。控制指令包括但不限于平台</w:t>
      </w:r>
      <w:r>
        <w:rPr>
          <w:rFonts w:ascii="宋体" w:hAnsi="宋体" w:cs="宋体"/>
          <w:color w:val="auto"/>
          <w:sz w:val="24"/>
          <w:highlight w:val="none"/>
        </w:rPr>
        <w:t>的启动</w:t>
      </w:r>
      <w:r>
        <w:rPr>
          <w:rFonts w:hint="eastAsia" w:ascii="宋体" w:hAnsi="宋体" w:cs="宋体"/>
          <w:color w:val="auto"/>
          <w:sz w:val="24"/>
          <w:highlight w:val="none"/>
        </w:rPr>
        <w:t>、</w:t>
      </w:r>
      <w:r>
        <w:rPr>
          <w:rFonts w:ascii="宋体" w:hAnsi="宋体" w:cs="宋体"/>
          <w:color w:val="auto"/>
          <w:sz w:val="24"/>
          <w:highlight w:val="none"/>
        </w:rPr>
        <w:t>停止</w:t>
      </w:r>
      <w:r>
        <w:rPr>
          <w:rFonts w:hint="eastAsia" w:ascii="宋体" w:hAnsi="宋体" w:cs="宋体"/>
          <w:color w:val="auto"/>
          <w:sz w:val="24"/>
          <w:highlight w:val="none"/>
        </w:rPr>
        <w:t>、</w:t>
      </w:r>
      <w:r>
        <w:rPr>
          <w:rFonts w:ascii="宋体" w:hAnsi="宋体" w:cs="宋体"/>
          <w:color w:val="auto"/>
          <w:sz w:val="24"/>
          <w:highlight w:val="none"/>
        </w:rPr>
        <w:t>速度设定</w:t>
      </w:r>
      <w:r>
        <w:rPr>
          <w:rFonts w:hint="eastAsia" w:ascii="宋体" w:hAnsi="宋体" w:cs="宋体"/>
          <w:color w:val="auto"/>
          <w:sz w:val="24"/>
          <w:highlight w:val="none"/>
        </w:rPr>
        <w:t>、</w:t>
      </w:r>
      <w:r>
        <w:rPr>
          <w:rFonts w:ascii="宋体" w:hAnsi="宋体" w:cs="宋体"/>
          <w:color w:val="auto"/>
          <w:sz w:val="24"/>
          <w:highlight w:val="none"/>
        </w:rPr>
        <w:t>位置设定等必要的过程命令控制</w:t>
      </w:r>
      <w:r>
        <w:rPr>
          <w:rFonts w:hint="eastAsia" w:ascii="宋体" w:hAnsi="宋体" w:cs="宋体"/>
          <w:color w:val="auto"/>
          <w:sz w:val="24"/>
          <w:highlight w:val="none"/>
        </w:rPr>
        <w:t>；</w:t>
      </w:r>
    </w:p>
    <w:p w14:paraId="0B6B5FC3">
      <w:pPr>
        <w:widowControl/>
        <w:numPr>
          <w:ilvl w:val="0"/>
          <w:numId w:val="7"/>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控制系统程序应集成必要算法，包括不限于视觉伺服控制算法、力-位置控制算法，动力学参数识别算法来保证机械臂系统的可靠对准锁紧、包层搬运和落位。</w:t>
      </w:r>
    </w:p>
    <w:p w14:paraId="6A56C0E8">
      <w:pPr>
        <w:widowControl/>
        <w:numPr>
          <w:ilvl w:val="0"/>
          <w:numId w:val="7"/>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包含远程</w:t>
      </w:r>
      <w:r>
        <w:rPr>
          <w:rFonts w:ascii="宋体" w:hAnsi="宋体" w:cs="宋体"/>
          <w:color w:val="auto"/>
          <w:sz w:val="24"/>
          <w:highlight w:val="none"/>
        </w:rPr>
        <w:t>控制系统</w:t>
      </w:r>
      <w:r>
        <w:rPr>
          <w:rFonts w:hint="eastAsia" w:ascii="宋体" w:hAnsi="宋体" w:cs="宋体"/>
          <w:color w:val="auto"/>
          <w:sz w:val="24"/>
          <w:highlight w:val="none"/>
        </w:rPr>
        <w:t>和现场（本地）</w:t>
      </w:r>
      <w:r>
        <w:rPr>
          <w:rFonts w:ascii="宋体" w:hAnsi="宋体" w:cs="宋体"/>
          <w:color w:val="auto"/>
          <w:sz w:val="24"/>
          <w:highlight w:val="none"/>
        </w:rPr>
        <w:t>控制系统</w:t>
      </w:r>
      <w:r>
        <w:rPr>
          <w:rFonts w:hint="eastAsia" w:ascii="宋体" w:hAnsi="宋体" w:cs="宋体"/>
          <w:color w:val="auto"/>
          <w:sz w:val="24"/>
          <w:highlight w:val="none"/>
        </w:rPr>
        <w:t>；</w:t>
      </w:r>
    </w:p>
    <w:p w14:paraId="3D2670A7">
      <w:pPr>
        <w:widowControl/>
        <w:numPr>
          <w:ilvl w:val="0"/>
          <w:numId w:val="7"/>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提供完整远程控制通讯协议，远程控制软件和本地控制软件源码、可执行程序。</w:t>
      </w:r>
    </w:p>
    <w:p w14:paraId="443BE904">
      <w:pPr>
        <w:widowControl/>
        <w:numPr>
          <w:ilvl w:val="0"/>
          <w:numId w:val="5"/>
        </w:numPr>
        <w:spacing w:line="360" w:lineRule="auto"/>
        <w:rPr>
          <w:rFonts w:hint="eastAsia" w:ascii="宋体" w:hAnsi="宋体" w:cs="宋体"/>
          <w:color w:val="auto"/>
          <w:sz w:val="24"/>
          <w:highlight w:val="none"/>
        </w:rPr>
      </w:pPr>
      <w:r>
        <w:rPr>
          <w:rFonts w:ascii="宋体" w:hAnsi="宋体" w:cs="宋体"/>
          <w:color w:val="auto"/>
          <w:sz w:val="24"/>
          <w:highlight w:val="none"/>
        </w:rPr>
        <w:t>安全要求</w:t>
      </w:r>
      <w:r>
        <w:rPr>
          <w:rFonts w:hint="eastAsia" w:ascii="宋体" w:hAnsi="宋体" w:cs="宋体"/>
          <w:color w:val="auto"/>
          <w:sz w:val="24"/>
          <w:highlight w:val="none"/>
        </w:rPr>
        <w:t>：控制系统必须保障包层维护机械臂系统运行过程中设备和人身的绝对安全，对存在的安全风险采取对应的安全设计措施，如失电（欠压）保护、位置极限位置保护、冗余设计、过温保护、过载保护、故障报警、外部急停等。系统的安全控制应采用独立回路进行控制，并配置本地急停控制按钮。保证机械臂抓取和移动过程中，不会意外脱落和碰撞。</w:t>
      </w:r>
    </w:p>
    <w:p w14:paraId="56C939D0">
      <w:pPr>
        <w:widowControl/>
        <w:numPr>
          <w:ilvl w:val="0"/>
          <w:numId w:val="5"/>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电气元件要求：</w:t>
      </w:r>
      <w:r>
        <w:rPr>
          <w:rFonts w:ascii="宋体" w:hAnsi="宋体" w:cs="宋体"/>
          <w:color w:val="auto"/>
          <w:sz w:val="24"/>
          <w:highlight w:val="none"/>
        </w:rPr>
        <w:t>控制系统的所有电气设备</w:t>
      </w:r>
      <w:r>
        <w:rPr>
          <w:rFonts w:hint="eastAsia" w:ascii="宋体" w:hAnsi="宋体" w:cs="宋体"/>
          <w:color w:val="auto"/>
          <w:sz w:val="24"/>
          <w:highlight w:val="none"/>
        </w:rPr>
        <w:t>和元件</w:t>
      </w:r>
      <w:r>
        <w:rPr>
          <w:rFonts w:ascii="宋体" w:hAnsi="宋体" w:cs="宋体"/>
          <w:color w:val="auto"/>
          <w:sz w:val="24"/>
          <w:highlight w:val="none"/>
        </w:rPr>
        <w:t>应</w:t>
      </w:r>
      <w:r>
        <w:rPr>
          <w:rFonts w:hint="eastAsia" w:ascii="宋体" w:hAnsi="宋体" w:cs="宋体"/>
          <w:color w:val="auto"/>
          <w:sz w:val="24"/>
          <w:highlight w:val="none"/>
        </w:rPr>
        <w:t>符合相应的国家标准或与之相当的其他标准，所有仪表和控制系统应符合电磁兼容标准。控制系统的线缆连接方式应确保连接可靠，信号线缆与电力线缆应分开布置。PLC逻辑控制器推荐选用倍福或西门子系列。电气元件品牌推荐：西门子，倍福，施耐德，ABB，Rexroth等，投标人可以选择性能相当于或优于参考品牌的其他品牌产品，但需要提供相关证明档次不低于参考品牌。</w:t>
      </w:r>
    </w:p>
    <w:p w14:paraId="39DD02DE">
      <w:pPr>
        <w:widowControl/>
        <w:numPr>
          <w:ilvl w:val="0"/>
          <w:numId w:val="5"/>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其他要求：机械臂系统内含视觉监控和必要的照明系统，以便直观了解设备运行状态。</w:t>
      </w:r>
    </w:p>
    <w:bookmarkEnd w:id="10"/>
    <w:p w14:paraId="0A8920BE">
      <w:pPr>
        <w:spacing w:line="360" w:lineRule="auto"/>
        <w:rPr>
          <w:rFonts w:hint="eastAsia" w:ascii="宋体" w:hAnsi="宋体" w:cs="宋体"/>
          <w:b/>
          <w:bCs/>
          <w:color w:val="auto"/>
          <w:sz w:val="24"/>
          <w:highlight w:val="none"/>
        </w:rPr>
      </w:pPr>
      <w:bookmarkStart w:id="12" w:name="_Hlk141952237"/>
      <w:r>
        <w:rPr>
          <w:rFonts w:hint="eastAsia" w:ascii="宋体" w:hAnsi="宋体" w:cs="宋体"/>
          <w:b/>
          <w:bCs/>
          <w:color w:val="auto"/>
          <w:sz w:val="24"/>
          <w:highlight w:val="none"/>
        </w:rPr>
        <w:t>2.3.</w:t>
      </w:r>
      <w:r>
        <w:rPr>
          <w:rFonts w:ascii="宋体" w:hAnsi="宋体" w:cs="宋体"/>
          <w:b/>
          <w:bCs/>
          <w:color w:val="auto"/>
          <w:sz w:val="24"/>
          <w:highlight w:val="none"/>
        </w:rPr>
        <w:t>2</w:t>
      </w:r>
      <w:r>
        <w:rPr>
          <w:rFonts w:hint="eastAsia" w:ascii="宋体" w:hAnsi="宋体" w:cs="宋体"/>
          <w:b/>
          <w:bCs/>
          <w:color w:val="auto"/>
          <w:sz w:val="24"/>
          <w:highlight w:val="none"/>
        </w:rPr>
        <w:t>分析要求</w:t>
      </w:r>
    </w:p>
    <w:bookmarkEnd w:id="12"/>
    <w:p w14:paraId="28465CC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要求包层维护机械臂系统开展以下分析工作：</w:t>
      </w:r>
    </w:p>
    <w:p w14:paraId="6F8E37FE">
      <w:pPr>
        <w:numPr>
          <w:ilvl w:val="0"/>
          <w:numId w:val="8"/>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基于对包层维护机械臂系统运行流程的分析，识别关键极端工况，并据此评估其结构强度与形变特性；</w:t>
      </w:r>
    </w:p>
    <w:p w14:paraId="00D7B7BC">
      <w:pPr>
        <w:numPr>
          <w:ilvl w:val="0"/>
          <w:numId w:val="8"/>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包层对接锁紧机构的结构强度、形变分析；</w:t>
      </w:r>
    </w:p>
    <w:p w14:paraId="049F0B85">
      <w:pPr>
        <w:numPr>
          <w:ilvl w:val="0"/>
          <w:numId w:val="8"/>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机构运动的动力学分析；</w:t>
      </w:r>
    </w:p>
    <w:p w14:paraId="0A238DDE">
      <w:pPr>
        <w:numPr>
          <w:ilvl w:val="0"/>
          <w:numId w:val="8"/>
        </w:numPr>
        <w:spacing w:line="360" w:lineRule="auto"/>
        <w:rPr>
          <w:rFonts w:hint="eastAsia" w:ascii="宋体" w:hAnsi="宋体" w:cs="宋体"/>
          <w:color w:val="auto"/>
          <w:sz w:val="24"/>
          <w:highlight w:val="none"/>
        </w:rPr>
      </w:pPr>
      <w:r>
        <w:rPr>
          <w:rFonts w:ascii="宋体" w:hAnsi="宋体" w:cs="宋体"/>
          <w:color w:val="auto"/>
          <w:sz w:val="24"/>
          <w:highlight w:val="none"/>
        </w:rPr>
        <w:t>地震载荷下的</w:t>
      </w:r>
      <w:r>
        <w:rPr>
          <w:rFonts w:hint="eastAsia" w:ascii="宋体" w:hAnsi="宋体" w:cs="宋体"/>
          <w:color w:val="auto"/>
          <w:sz w:val="24"/>
          <w:highlight w:val="none"/>
        </w:rPr>
        <w:t>系统结构强度、形变分析等；</w:t>
      </w:r>
    </w:p>
    <w:p w14:paraId="03C4986E">
      <w:pPr>
        <w:numPr>
          <w:ilvl w:val="0"/>
          <w:numId w:val="8"/>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系统吊装过程中，吊具与机械臂支撑框架的结构强度、形变分析。</w:t>
      </w:r>
    </w:p>
    <w:p w14:paraId="5B4E090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主要分析要求如下：</w:t>
      </w:r>
    </w:p>
    <w:p w14:paraId="14ACBE62">
      <w:pPr>
        <w:numPr>
          <w:ilvl w:val="0"/>
          <w:numId w:val="9"/>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针对复杂结构，要求模型简化合理以及正确的建立分析模型；</w:t>
      </w:r>
    </w:p>
    <w:p w14:paraId="75E9C326">
      <w:pPr>
        <w:numPr>
          <w:ilvl w:val="0"/>
          <w:numId w:val="9"/>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根据实际控制策略和运动方式，进行详细的运动仿真结果分析，验证系统方案是否满足需求（例如机械臂关节运动动力学分析、包层抓手动力学分析）；</w:t>
      </w:r>
    </w:p>
    <w:p w14:paraId="533D5413">
      <w:pPr>
        <w:numPr>
          <w:ilvl w:val="0"/>
          <w:numId w:val="9"/>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不得改变包层维护机械臂系统的质量分布和真实的受力特性；</w:t>
      </w:r>
    </w:p>
    <w:p w14:paraId="2ABB9E70">
      <w:pPr>
        <w:numPr>
          <w:ilvl w:val="0"/>
          <w:numId w:val="9"/>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有限元网格划分质量应该满足GB/T 33582-2017中的单元质量检查控制参数，包括长宽比、翘曲度、偏斜度、内角等；</w:t>
      </w:r>
    </w:p>
    <w:p w14:paraId="1CB75E6B">
      <w:pPr>
        <w:numPr>
          <w:ilvl w:val="0"/>
          <w:numId w:val="9"/>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对关键承力部件的有限元分析需要验证网格无关性，并附网格细化过程，两次细化结果误差为≤5%；</w:t>
      </w:r>
    </w:p>
    <w:p w14:paraId="6AB45E6D">
      <w:pPr>
        <w:numPr>
          <w:ilvl w:val="0"/>
          <w:numId w:val="9"/>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地震载荷应按合肥当地实际情况选取。</w:t>
      </w:r>
    </w:p>
    <w:p w14:paraId="6E37FC2F">
      <w:pPr>
        <w:spacing w:line="360" w:lineRule="auto"/>
        <w:rPr>
          <w:rFonts w:hint="eastAsia" w:ascii="宋体" w:hAnsi="宋体" w:cs="宋体"/>
          <w:b/>
          <w:bCs/>
          <w:color w:val="auto"/>
          <w:sz w:val="24"/>
          <w:highlight w:val="none"/>
        </w:rPr>
      </w:pPr>
      <w:r>
        <w:rPr>
          <w:rFonts w:hint="eastAsia" w:ascii="宋体" w:hAnsi="宋体" w:cs="宋体"/>
          <w:b/>
          <w:bCs/>
          <w:color w:val="auto"/>
          <w:sz w:val="24"/>
          <w:highlight w:val="none"/>
        </w:rPr>
        <w:t>2.3.</w:t>
      </w:r>
      <w:r>
        <w:rPr>
          <w:rFonts w:ascii="宋体" w:hAnsi="宋体" w:cs="宋体"/>
          <w:b/>
          <w:bCs/>
          <w:color w:val="auto"/>
          <w:sz w:val="24"/>
          <w:highlight w:val="none"/>
        </w:rPr>
        <w:t>3</w:t>
      </w:r>
      <w:r>
        <w:rPr>
          <w:rFonts w:hint="eastAsia" w:ascii="宋体" w:hAnsi="宋体" w:cs="宋体"/>
          <w:b/>
          <w:bCs/>
          <w:color w:val="auto"/>
          <w:sz w:val="24"/>
          <w:highlight w:val="none"/>
        </w:rPr>
        <w:t>集成和测试要求</w:t>
      </w:r>
    </w:p>
    <w:p w14:paraId="6C48613F">
      <w:pPr>
        <w:spacing w:line="360" w:lineRule="auto"/>
        <w:ind w:firstLine="480"/>
        <w:rPr>
          <w:rFonts w:hint="eastAsia" w:ascii="宋体" w:hAnsi="宋体"/>
          <w:color w:val="auto"/>
          <w:sz w:val="24"/>
          <w:highlight w:val="none"/>
        </w:rPr>
      </w:pPr>
      <w:r>
        <w:rPr>
          <w:rFonts w:hint="eastAsia" w:ascii="宋体" w:hAnsi="宋体" w:cs="宋体"/>
          <w:color w:val="auto"/>
          <w:sz w:val="24"/>
          <w:highlight w:val="none"/>
        </w:rPr>
        <w:t>包层维护机械臂系统</w:t>
      </w:r>
      <w:r>
        <w:rPr>
          <w:rFonts w:hint="eastAsia" w:ascii="宋体" w:hAnsi="宋体"/>
          <w:color w:val="auto"/>
          <w:sz w:val="24"/>
          <w:highlight w:val="none"/>
        </w:rPr>
        <w:t>完成研制后，为了验证其是否符合设计要求，需开展以下测试验收内容（标书中应提供详细的、可操作性、可实施性的测试验收方案）：</w:t>
      </w:r>
    </w:p>
    <w:p w14:paraId="52F28119">
      <w:pPr>
        <w:numPr>
          <w:ilvl w:val="0"/>
          <w:numId w:val="10"/>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尺寸偏差检测：应以设计图纸规定的尺寸为基准计算尺寸偏差，偏差检测项目和检测方法，应按照机械制图标准执行；</w:t>
      </w:r>
    </w:p>
    <w:p w14:paraId="46414F85">
      <w:pPr>
        <w:numPr>
          <w:ilvl w:val="0"/>
          <w:numId w:val="10"/>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焊缝质量检测：并应符合下列规定：a、对主体结构工程质量，应按《钢结构工程施工质量验收规范》GB50205的规定进行检测；b、焊缝缺陷分级，应按《钢焊缝手工超声波探伤方法及质量分级法》GB11345确定；c、从事超声检测的人员，应按照国家特种设备无损检测人员考核的相关规定取得相应超声检测人员资格或按照GB/T9445标准取得超声检测相关工业门类的资格等级证书；</w:t>
      </w:r>
    </w:p>
    <w:p w14:paraId="06AC23A0">
      <w:pPr>
        <w:numPr>
          <w:ilvl w:val="0"/>
          <w:numId w:val="10"/>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投标方应搭建1套地面测试台架，要求执行如下测试内容：</w:t>
      </w:r>
    </w:p>
    <w:p w14:paraId="0125B2A6">
      <w:pPr>
        <w:numPr>
          <w:ilvl w:val="1"/>
          <w:numId w:val="10"/>
        </w:numPr>
        <w:spacing w:line="360" w:lineRule="auto"/>
        <w:rPr>
          <w:rFonts w:hint="eastAsia" w:ascii="宋体" w:hAnsi="宋体" w:cs="宋体"/>
          <w:color w:val="auto"/>
          <w:sz w:val="24"/>
          <w:highlight w:val="none"/>
        </w:rPr>
      </w:pPr>
      <w:r>
        <w:rPr>
          <w:rFonts w:ascii="宋体" w:hAnsi="宋体" w:cs="宋体"/>
          <w:color w:val="auto"/>
          <w:sz w:val="24"/>
          <w:highlight w:val="none"/>
        </w:rPr>
        <w:t>包层抓取机构负载</w:t>
      </w:r>
      <w:r>
        <w:rPr>
          <w:rFonts w:hint="eastAsia" w:ascii="宋体" w:hAnsi="宋体" w:cs="宋体"/>
          <w:color w:val="auto"/>
          <w:sz w:val="24"/>
          <w:highlight w:val="none"/>
        </w:rPr>
        <w:t>测试：模拟机械臂抓手与包层对接接口锁紧和释放，验证机械臂抓手和包层对接接口的负载能力满足要求，且无塑性变形。</w:t>
      </w:r>
    </w:p>
    <w:p w14:paraId="655FB047">
      <w:pPr>
        <w:numPr>
          <w:ilvl w:val="1"/>
          <w:numId w:val="10"/>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包层机械臂系统全负载维护测试：机械臂抓取模拟包层负载，包含机械臂系统与包层抓手机构以及高/低场侧包层负载模拟件（可采用支撑架和配重砝码组合方式搭建），用于测试机械臂系统实际负载能力，控制系统安全和稳定性，末端重复定位精度等，验证整套系统对高、低场包层抓取和安装任务的有效性。</w:t>
      </w:r>
    </w:p>
    <w:p w14:paraId="6E810596">
      <w:pPr>
        <w:numPr>
          <w:ilvl w:val="0"/>
          <w:numId w:val="10"/>
        </w:numPr>
        <w:spacing w:line="360" w:lineRule="auto"/>
        <w:rPr>
          <w:rFonts w:ascii="宋体" w:hAnsi="宋体" w:cs="宋体"/>
          <w:color w:val="auto"/>
          <w:sz w:val="24"/>
          <w:highlight w:val="none"/>
        </w:rPr>
      </w:pPr>
      <w:r>
        <w:rPr>
          <w:rFonts w:hint="eastAsia" w:ascii="宋体" w:hAnsi="宋体" w:cs="宋体"/>
          <w:color w:val="auto"/>
          <w:sz w:val="24"/>
          <w:highlight w:val="none"/>
        </w:rPr>
        <w:t>投标方除了机械臂系统外，还须制造和安装用于集成在八分之一真空室平台（见</w:t>
      </w:r>
      <w:r>
        <w:rPr>
          <w:rFonts w:ascii="宋体" w:hAnsi="宋体" w:cs="宋体"/>
          <w:color w:val="auto"/>
          <w:sz w:val="24"/>
          <w:highlight w:val="none"/>
        </w:rPr>
        <w:fldChar w:fldCharType="begin"/>
      </w:r>
      <w:r>
        <w:rPr>
          <w:rFonts w:ascii="宋体" w:hAnsi="宋体" w:cs="宋体"/>
          <w:color w:val="auto"/>
          <w:sz w:val="24"/>
          <w:highlight w:val="none"/>
        </w:rPr>
        <w:instrText xml:space="preserve"> </w:instrText>
      </w:r>
      <w:r>
        <w:rPr>
          <w:rFonts w:hint="eastAsia" w:ascii="宋体" w:hAnsi="宋体" w:cs="宋体"/>
          <w:color w:val="auto"/>
          <w:sz w:val="24"/>
          <w:highlight w:val="none"/>
        </w:rPr>
        <w:instrText xml:space="preserve">REF _Ref153464590 \h</w:instrText>
      </w:r>
      <w:r>
        <w:rPr>
          <w:rFonts w:ascii="宋体" w:hAnsi="宋体" w:cs="宋体"/>
          <w:color w:val="auto"/>
          <w:sz w:val="24"/>
          <w:highlight w:val="none"/>
        </w:rPr>
        <w:instrText xml:space="preserve">  \* MERGEFORMAT </w:instrText>
      </w:r>
      <w:r>
        <w:rPr>
          <w:rFonts w:ascii="宋体" w:hAnsi="宋体" w:cs="宋体"/>
          <w:color w:val="auto"/>
          <w:sz w:val="24"/>
          <w:highlight w:val="none"/>
        </w:rPr>
        <w:fldChar w:fldCharType="separate"/>
      </w:r>
      <w:r>
        <w:rPr>
          <w:rFonts w:hint="eastAsia" w:ascii="宋体" w:hAnsi="宋体" w:cs="宋体"/>
          <w:color w:val="auto"/>
          <w:sz w:val="24"/>
          <w:highlight w:val="none"/>
        </w:rPr>
        <w:t>图 5</w:t>
      </w:r>
      <w:r>
        <w:rPr>
          <w:rFonts w:ascii="宋体" w:hAnsi="宋体" w:cs="宋体"/>
          <w:color w:val="auto"/>
          <w:sz w:val="24"/>
          <w:highlight w:val="none"/>
        </w:rPr>
        <w:fldChar w:fldCharType="end"/>
      </w:r>
      <w:r>
        <w:rPr>
          <w:rFonts w:hint="eastAsia" w:ascii="宋体" w:hAnsi="宋体" w:cs="宋体"/>
          <w:color w:val="auto"/>
          <w:sz w:val="24"/>
          <w:highlight w:val="none"/>
        </w:rPr>
        <w:t>）上的包层样件，包括1件高场侧包层（不低于5吨），以及改造1件现有的15吨低场侧包层（须制造和安装与机械臂抓手对接的接口部件）；</w:t>
      </w:r>
    </w:p>
    <w:p w14:paraId="43111ADB">
      <w:pPr>
        <w:numPr>
          <w:ilvl w:val="0"/>
          <w:numId w:val="10"/>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投标方须提供包层维护机械臂、机械臂支撑框架以及垂直提升系统在八分之一真空室上的现场集成安装服务。根据项目进度安排，包层维护机械臂系统集成安装时可能存在两种现场位置：包层维护机械臂地面测试台架（可从投标方搬迁至招标方现场，或直接在招标方指定场地上搭建）和八分之一真空室遥操作验证平台。本项目的最终集成测试环境如</w:t>
      </w:r>
      <w:r>
        <w:rPr>
          <w:rFonts w:ascii="宋体" w:hAnsi="宋体" w:cs="宋体"/>
          <w:color w:val="auto"/>
          <w:sz w:val="24"/>
          <w:highlight w:val="none"/>
        </w:rPr>
        <w:fldChar w:fldCharType="begin"/>
      </w:r>
      <w:r>
        <w:rPr>
          <w:rFonts w:ascii="宋体" w:hAnsi="宋体" w:cs="宋体"/>
          <w:color w:val="auto"/>
          <w:sz w:val="24"/>
          <w:highlight w:val="none"/>
        </w:rPr>
        <w:instrText xml:space="preserve"> </w:instrText>
      </w:r>
      <w:r>
        <w:rPr>
          <w:rFonts w:hint="eastAsia" w:ascii="宋体" w:hAnsi="宋体" w:cs="宋体"/>
          <w:color w:val="auto"/>
          <w:sz w:val="24"/>
          <w:highlight w:val="none"/>
        </w:rPr>
        <w:instrText xml:space="preserve">REF _Ref153464590 \h</w:instrText>
      </w:r>
      <w:r>
        <w:rPr>
          <w:rFonts w:ascii="宋体" w:hAnsi="宋体" w:cs="宋体"/>
          <w:color w:val="auto"/>
          <w:sz w:val="24"/>
          <w:highlight w:val="none"/>
        </w:rPr>
        <w:instrText xml:space="preserve">  \* MERGEFORMAT </w:instrText>
      </w:r>
      <w:r>
        <w:rPr>
          <w:rFonts w:ascii="宋体" w:hAnsi="宋体" w:cs="宋体"/>
          <w:color w:val="auto"/>
          <w:sz w:val="24"/>
          <w:highlight w:val="none"/>
        </w:rPr>
        <w:fldChar w:fldCharType="separate"/>
      </w:r>
      <w:r>
        <w:rPr>
          <w:rFonts w:hint="eastAsia" w:ascii="宋体" w:hAnsi="宋体" w:cs="宋体"/>
          <w:color w:val="auto"/>
          <w:sz w:val="24"/>
          <w:highlight w:val="none"/>
        </w:rPr>
        <w:t>图 5</w:t>
      </w:r>
      <w:r>
        <w:rPr>
          <w:rFonts w:ascii="宋体" w:hAnsi="宋体" w:cs="宋体"/>
          <w:color w:val="auto"/>
          <w:sz w:val="24"/>
          <w:highlight w:val="none"/>
        </w:rPr>
        <w:fldChar w:fldCharType="end"/>
      </w:r>
      <w:r>
        <w:rPr>
          <w:rFonts w:hint="eastAsia" w:ascii="宋体" w:hAnsi="宋体" w:cs="宋体"/>
          <w:color w:val="auto"/>
          <w:sz w:val="24"/>
          <w:highlight w:val="none"/>
        </w:rPr>
        <w:t>所示。此外，还应自备集成安装和集成测试所需的测量设备（如激光跟踪仪、直尺，水平仪，塞尺等），登高设备（登高车、升降台等），紧固件，吊具（如吊运工装、吊绳、吊环等），工具设备（切割、打磨、钻孔、攻丝、焊接等设备），以及提供具备资质操作以上设备和工具的操作人员。</w:t>
      </w:r>
    </w:p>
    <w:p w14:paraId="45805261">
      <w:pPr>
        <w:keepNext/>
        <w:spacing w:line="360" w:lineRule="auto"/>
        <w:jc w:val="center"/>
        <w:rPr>
          <w:color w:val="auto"/>
          <w:highlight w:val="none"/>
        </w:rPr>
      </w:pPr>
      <w:r>
        <w:rPr>
          <w:rFonts w:ascii="宋体" w:hAnsi="宋体" w:cs="宋体"/>
          <w:color w:val="auto"/>
          <w:sz w:val="24"/>
          <w:highlight w:val="none"/>
        </w:rPr>
        <w:t xml:space="preserve"> </w:t>
      </w:r>
      <w:r>
        <w:rPr>
          <w:color w:val="auto"/>
          <w:highlight w:val="none"/>
        </w:rPr>
        <w:drawing>
          <wp:inline distT="0" distB="0" distL="114300" distR="114300">
            <wp:extent cx="3333750" cy="4458970"/>
            <wp:effectExtent l="0" t="0" r="3810" b="635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8"/>
                    <a:stretch>
                      <a:fillRect/>
                    </a:stretch>
                  </pic:blipFill>
                  <pic:spPr>
                    <a:xfrm>
                      <a:off x="0" y="0"/>
                      <a:ext cx="3333750" cy="4458970"/>
                    </a:xfrm>
                    <a:prstGeom prst="rect">
                      <a:avLst/>
                    </a:prstGeom>
                    <a:noFill/>
                    <a:ln>
                      <a:noFill/>
                    </a:ln>
                  </pic:spPr>
                </pic:pic>
              </a:graphicData>
            </a:graphic>
          </wp:inline>
        </w:drawing>
      </w:r>
    </w:p>
    <w:p w14:paraId="25F10D37">
      <w:pPr>
        <w:pStyle w:val="3"/>
        <w:jc w:val="center"/>
        <w:rPr>
          <w:rFonts w:hint="eastAsia" w:ascii="宋体" w:hAnsi="宋体" w:cs="宋体"/>
          <w:color w:val="auto"/>
          <w:highlight w:val="none"/>
        </w:rPr>
      </w:pPr>
      <w:bookmarkStart w:id="13" w:name="_Ref153464590"/>
      <w:r>
        <w:rPr>
          <w:rFonts w:hint="eastAsia"/>
          <w:color w:val="auto"/>
          <w:highlight w:val="none"/>
        </w:rPr>
        <w:t xml:space="preserve">图 </w:t>
      </w:r>
      <w:r>
        <w:rPr>
          <w:color w:val="auto"/>
          <w:highlight w:val="none"/>
        </w:rPr>
        <w:fldChar w:fldCharType="begin"/>
      </w:r>
      <w:r>
        <w:rPr>
          <w:color w:val="auto"/>
          <w:highlight w:val="none"/>
        </w:rPr>
        <w:instrText xml:space="preserve"> </w:instrText>
      </w:r>
      <w:r>
        <w:rPr>
          <w:rFonts w:hint="eastAsia"/>
          <w:color w:val="auto"/>
          <w:highlight w:val="none"/>
        </w:rPr>
        <w:instrText xml:space="preserve">SEQ 图 \* ARABIC</w:instrText>
      </w:r>
      <w:r>
        <w:rPr>
          <w:color w:val="auto"/>
          <w:highlight w:val="none"/>
        </w:rPr>
        <w:instrText xml:space="preserve"> </w:instrText>
      </w:r>
      <w:r>
        <w:rPr>
          <w:color w:val="auto"/>
          <w:highlight w:val="none"/>
        </w:rPr>
        <w:fldChar w:fldCharType="separate"/>
      </w:r>
      <w:r>
        <w:rPr>
          <w:rFonts w:hint="eastAsia"/>
          <w:color w:val="auto"/>
          <w:highlight w:val="none"/>
        </w:rPr>
        <w:t>5</w:t>
      </w:r>
      <w:r>
        <w:rPr>
          <w:color w:val="auto"/>
          <w:highlight w:val="none"/>
        </w:rPr>
        <w:fldChar w:fldCharType="end"/>
      </w:r>
      <w:bookmarkEnd w:id="13"/>
      <w:r>
        <w:rPr>
          <w:color w:val="auto"/>
          <w:highlight w:val="none"/>
        </w:rPr>
        <w:t xml:space="preserve"> </w:t>
      </w:r>
      <w:r>
        <w:rPr>
          <w:rFonts w:hint="eastAsia"/>
          <w:color w:val="auto"/>
          <w:highlight w:val="none"/>
        </w:rPr>
        <w:t>八分之一真空室遥操作验证平台</w:t>
      </w:r>
    </w:p>
    <w:p w14:paraId="20A78687">
      <w:pPr>
        <w:numPr>
          <w:ilvl w:val="0"/>
          <w:numId w:val="10"/>
        </w:numPr>
        <w:spacing w:line="360" w:lineRule="auto"/>
        <w:rPr>
          <w:rFonts w:hint="eastAsia" w:ascii="宋体" w:hAnsi="宋体" w:cs="宋体"/>
          <w:color w:val="auto"/>
          <w:sz w:val="24"/>
          <w:highlight w:val="none"/>
        </w:rPr>
      </w:pPr>
      <w:r>
        <w:rPr>
          <w:rFonts w:hint="eastAsia" w:ascii="宋体" w:hAnsi="宋体" w:cs="宋体"/>
          <w:color w:val="auto"/>
          <w:sz w:val="24"/>
          <w:highlight w:val="none"/>
        </w:rPr>
        <w:t>实验测试：主要检测包层维护机械臂系统的使用性能，分阶段进行实验测试，测试内容如下表所示。</w:t>
      </w:r>
    </w:p>
    <w:tbl>
      <w:tblPr>
        <w:tblStyle w:val="4"/>
        <w:tblW w:w="71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1559"/>
        <w:gridCol w:w="4479"/>
      </w:tblGrid>
      <w:tr w14:paraId="55AD3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1" w:type="dxa"/>
            <w:noWrap w:val="0"/>
            <w:vAlign w:val="center"/>
          </w:tcPr>
          <w:p w14:paraId="7AFEAD65">
            <w:pPr>
              <w:jc w:val="center"/>
              <w:rPr>
                <w:rFonts w:hint="eastAsia" w:ascii="宋体" w:hAnsi="宋体" w:cs="宋体"/>
                <w:b/>
                <w:color w:val="auto"/>
                <w:highlight w:val="none"/>
              </w:rPr>
            </w:pPr>
            <w:r>
              <w:rPr>
                <w:rFonts w:hint="eastAsia" w:ascii="宋体" w:hAnsi="宋体" w:cs="宋体"/>
                <w:b/>
                <w:color w:val="auto"/>
                <w:highlight w:val="none"/>
              </w:rPr>
              <w:t>测试名称</w:t>
            </w:r>
          </w:p>
        </w:tc>
        <w:tc>
          <w:tcPr>
            <w:tcW w:w="1559" w:type="dxa"/>
            <w:noWrap w:val="0"/>
            <w:vAlign w:val="center"/>
          </w:tcPr>
          <w:p w14:paraId="34590826">
            <w:pPr>
              <w:jc w:val="center"/>
              <w:rPr>
                <w:rFonts w:hint="eastAsia" w:ascii="宋体" w:hAnsi="宋体" w:cs="宋体"/>
                <w:b/>
                <w:color w:val="auto"/>
                <w:highlight w:val="none"/>
              </w:rPr>
            </w:pPr>
            <w:r>
              <w:rPr>
                <w:rFonts w:hint="eastAsia" w:ascii="宋体" w:hAnsi="宋体" w:cs="宋体"/>
                <w:b/>
                <w:color w:val="auto"/>
                <w:highlight w:val="none"/>
              </w:rPr>
              <w:t>测试地点</w:t>
            </w:r>
          </w:p>
        </w:tc>
        <w:tc>
          <w:tcPr>
            <w:tcW w:w="4479" w:type="dxa"/>
            <w:noWrap w:val="0"/>
            <w:vAlign w:val="center"/>
          </w:tcPr>
          <w:p w14:paraId="4B810BF6">
            <w:pPr>
              <w:jc w:val="center"/>
              <w:rPr>
                <w:rFonts w:hint="eastAsia" w:ascii="宋体" w:hAnsi="宋体" w:cs="宋体"/>
                <w:b/>
                <w:color w:val="auto"/>
                <w:highlight w:val="none"/>
              </w:rPr>
            </w:pPr>
            <w:r>
              <w:rPr>
                <w:rFonts w:hint="eastAsia" w:ascii="宋体" w:hAnsi="宋体" w:cs="宋体"/>
                <w:b/>
                <w:color w:val="auto"/>
                <w:highlight w:val="none"/>
              </w:rPr>
              <w:t>测试内容及要求</w:t>
            </w:r>
          </w:p>
        </w:tc>
      </w:tr>
      <w:tr w14:paraId="126BF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081" w:type="dxa"/>
            <w:noWrap w:val="0"/>
            <w:vAlign w:val="center"/>
          </w:tcPr>
          <w:p w14:paraId="0F0668FC">
            <w:pPr>
              <w:jc w:val="center"/>
              <w:rPr>
                <w:rFonts w:hint="eastAsia" w:ascii="宋体" w:hAnsi="宋体" w:cs="宋体"/>
                <w:color w:val="auto"/>
                <w:highlight w:val="none"/>
              </w:rPr>
            </w:pPr>
            <w:r>
              <w:rPr>
                <w:rFonts w:hint="eastAsia" w:ascii="宋体" w:hAnsi="宋体" w:cs="宋体"/>
                <w:color w:val="auto"/>
                <w:highlight w:val="none"/>
              </w:rPr>
              <w:t>出厂验收测试</w:t>
            </w:r>
          </w:p>
        </w:tc>
        <w:tc>
          <w:tcPr>
            <w:tcW w:w="1559" w:type="dxa"/>
            <w:noWrap w:val="0"/>
            <w:vAlign w:val="center"/>
          </w:tcPr>
          <w:p w14:paraId="61786451">
            <w:pPr>
              <w:jc w:val="center"/>
              <w:rPr>
                <w:rFonts w:hint="eastAsia" w:ascii="宋体" w:hAnsi="宋体" w:cs="宋体"/>
                <w:color w:val="auto"/>
                <w:highlight w:val="none"/>
              </w:rPr>
            </w:pPr>
            <w:r>
              <w:rPr>
                <w:rFonts w:hint="eastAsia" w:ascii="宋体" w:hAnsi="宋体" w:cs="宋体"/>
                <w:color w:val="auto"/>
                <w:highlight w:val="none"/>
              </w:rPr>
              <w:t>地面测试台架</w:t>
            </w:r>
          </w:p>
        </w:tc>
        <w:tc>
          <w:tcPr>
            <w:tcW w:w="4479" w:type="dxa"/>
            <w:noWrap w:val="0"/>
            <w:vAlign w:val="center"/>
          </w:tcPr>
          <w:p w14:paraId="1FF0808F">
            <w:pPr>
              <w:jc w:val="left"/>
              <w:rPr>
                <w:rFonts w:ascii="宋体" w:hAnsi="宋体" w:cs="宋体"/>
                <w:color w:val="auto"/>
                <w:highlight w:val="none"/>
              </w:rPr>
            </w:pPr>
            <w:r>
              <w:rPr>
                <w:rFonts w:hint="eastAsia" w:ascii="宋体" w:hAnsi="宋体" w:cs="宋体"/>
                <w:color w:val="auto"/>
                <w:highlight w:val="none"/>
              </w:rPr>
              <w:t>须同时满足以下验收要求</w:t>
            </w:r>
            <w:r>
              <w:rPr>
                <w:rFonts w:ascii="宋体" w:hAnsi="宋体" w:cs="宋体"/>
                <w:color w:val="auto"/>
                <w:highlight w:val="none"/>
              </w:rPr>
              <w:t>：</w:t>
            </w:r>
          </w:p>
          <w:p w14:paraId="547812BB">
            <w:pPr>
              <w:pStyle w:val="6"/>
              <w:numPr>
                <w:ilvl w:val="0"/>
                <w:numId w:val="11"/>
              </w:numPr>
              <w:ind w:firstLineChars="0"/>
              <w:jc w:val="left"/>
              <w:rPr>
                <w:rFonts w:ascii="宋体" w:hAnsi="宋体" w:cs="宋体"/>
                <w:color w:val="auto"/>
                <w:highlight w:val="none"/>
              </w:rPr>
            </w:pPr>
            <w:r>
              <w:rPr>
                <w:rFonts w:ascii="宋体" w:hAnsi="宋体" w:cs="宋体"/>
                <w:color w:val="auto"/>
                <w:highlight w:val="none"/>
              </w:rPr>
              <w:t>低场侧包层</w:t>
            </w:r>
            <w:r>
              <w:rPr>
                <w:rFonts w:hint="eastAsia" w:ascii="宋体" w:hAnsi="宋体" w:cs="宋体"/>
                <w:color w:val="auto"/>
                <w:highlight w:val="none"/>
              </w:rPr>
              <w:t>60吨、高场侧包层50吨，重心满足</w:t>
            </w:r>
            <w:r>
              <w:rPr>
                <w:rFonts w:hint="eastAsia" w:ascii="宋体" w:hAnsi="宋体" w:cs="宋体"/>
                <w:color w:val="auto"/>
                <w:highlight w:val="none"/>
              </w:rPr>
              <w:fldChar w:fldCharType="begin"/>
            </w:r>
            <w:r>
              <w:rPr>
                <w:rFonts w:hint="eastAsia" w:ascii="宋体" w:hAnsi="宋体" w:cs="宋体"/>
                <w:color w:val="auto"/>
                <w:highlight w:val="none"/>
              </w:rPr>
              <w:instrText xml:space="preserve"> REF _Ref153393619 \h </w:instrText>
            </w:r>
            <w:r>
              <w:rPr>
                <w:rFonts w:hint="eastAsia" w:ascii="宋体" w:hAnsi="宋体" w:cs="宋体"/>
                <w:color w:val="auto"/>
                <w:highlight w:val="none"/>
              </w:rPr>
              <w:fldChar w:fldCharType="separate"/>
            </w:r>
            <w:r>
              <w:rPr>
                <w:rFonts w:hint="eastAsia"/>
                <w:color w:val="auto"/>
                <w:highlight w:val="none"/>
              </w:rPr>
              <w:t>图 2</w:t>
            </w:r>
            <w:r>
              <w:rPr>
                <w:rFonts w:hint="eastAsia" w:ascii="宋体" w:hAnsi="宋体" w:cs="宋体"/>
                <w:color w:val="auto"/>
                <w:highlight w:val="none"/>
              </w:rPr>
              <w:fldChar w:fldCharType="end"/>
            </w:r>
            <w:r>
              <w:rPr>
                <w:rFonts w:hint="eastAsia" w:ascii="宋体" w:hAnsi="宋体" w:cs="宋体"/>
                <w:color w:val="auto"/>
                <w:highlight w:val="none"/>
              </w:rPr>
              <w:t>和</w:t>
            </w:r>
            <w:r>
              <w:rPr>
                <w:rFonts w:hint="eastAsia" w:ascii="宋体" w:hAnsi="宋体" w:cs="宋体"/>
                <w:color w:val="auto"/>
                <w:highlight w:val="none"/>
              </w:rPr>
              <w:fldChar w:fldCharType="begin"/>
            </w:r>
            <w:r>
              <w:rPr>
                <w:rFonts w:hint="eastAsia" w:ascii="宋体" w:hAnsi="宋体" w:cs="宋体"/>
                <w:color w:val="auto"/>
                <w:highlight w:val="none"/>
              </w:rPr>
              <w:instrText xml:space="preserve"> REF _Ref218498764 \h </w:instrText>
            </w:r>
            <w:r>
              <w:rPr>
                <w:rFonts w:hint="eastAsia" w:ascii="宋体" w:hAnsi="宋体" w:cs="宋体"/>
                <w:color w:val="auto"/>
                <w:highlight w:val="none"/>
              </w:rPr>
              <w:fldChar w:fldCharType="separate"/>
            </w:r>
            <w:r>
              <w:rPr>
                <w:rFonts w:hint="eastAsia"/>
                <w:color w:val="auto"/>
                <w:highlight w:val="none"/>
              </w:rPr>
              <w:t>图 3</w:t>
            </w:r>
            <w:r>
              <w:rPr>
                <w:rFonts w:hint="eastAsia" w:ascii="宋体" w:hAnsi="宋体" w:cs="宋体"/>
                <w:color w:val="auto"/>
                <w:highlight w:val="none"/>
              </w:rPr>
              <w:fldChar w:fldCharType="end"/>
            </w:r>
            <w:r>
              <w:rPr>
                <w:rFonts w:hint="eastAsia" w:ascii="宋体" w:hAnsi="宋体" w:cs="宋体"/>
                <w:color w:val="auto"/>
                <w:highlight w:val="none"/>
              </w:rPr>
              <w:t>要求。</w:t>
            </w:r>
          </w:p>
          <w:p w14:paraId="3A0E1A8D">
            <w:pPr>
              <w:pStyle w:val="6"/>
              <w:numPr>
                <w:ilvl w:val="0"/>
                <w:numId w:val="11"/>
              </w:numPr>
              <w:ind w:firstLineChars="0"/>
              <w:jc w:val="left"/>
              <w:rPr>
                <w:rFonts w:ascii="宋体" w:hAnsi="宋体" w:cs="宋体"/>
                <w:color w:val="auto"/>
                <w:highlight w:val="none"/>
              </w:rPr>
            </w:pPr>
            <w:r>
              <w:rPr>
                <w:rFonts w:hint="eastAsia" w:ascii="宋体" w:hAnsi="宋体" w:cs="宋体"/>
                <w:color w:val="auto"/>
                <w:highlight w:val="none"/>
              </w:rPr>
              <w:t>机械臂能够实现高\低场侧包层模块的抓取和释放，连续无故障运行不少于10次。</w:t>
            </w:r>
          </w:p>
          <w:p w14:paraId="19C85D8B">
            <w:pPr>
              <w:pStyle w:val="6"/>
              <w:numPr>
                <w:ilvl w:val="0"/>
                <w:numId w:val="11"/>
              </w:numPr>
              <w:ind w:firstLineChars="0"/>
              <w:jc w:val="left"/>
              <w:rPr>
                <w:rFonts w:ascii="宋体" w:hAnsi="宋体" w:cs="宋体"/>
                <w:color w:val="auto"/>
                <w:highlight w:val="none"/>
              </w:rPr>
            </w:pPr>
            <w:r>
              <w:rPr>
                <w:rFonts w:hint="eastAsia" w:ascii="宋体" w:hAnsi="宋体" w:cs="宋体"/>
                <w:color w:val="auto"/>
                <w:highlight w:val="none"/>
              </w:rPr>
              <w:t>机械臂抓手机构和包层对接结构无塑性变形；</w:t>
            </w:r>
          </w:p>
          <w:p w14:paraId="0F0FDC0E">
            <w:pPr>
              <w:pStyle w:val="6"/>
              <w:numPr>
                <w:ilvl w:val="0"/>
                <w:numId w:val="11"/>
              </w:numPr>
              <w:ind w:firstLineChars="0"/>
              <w:jc w:val="left"/>
              <w:rPr>
                <w:rFonts w:ascii="宋体" w:hAnsi="宋体" w:cs="宋体"/>
                <w:color w:val="auto"/>
                <w:highlight w:val="none"/>
              </w:rPr>
            </w:pPr>
            <w:r>
              <w:rPr>
                <w:rFonts w:hint="eastAsia" w:ascii="宋体" w:hAnsi="宋体" w:cs="宋体"/>
                <w:color w:val="auto"/>
                <w:highlight w:val="none"/>
              </w:rPr>
              <w:t>机械臂末端重复定位精度小于±5mm；</w:t>
            </w:r>
          </w:p>
          <w:p w14:paraId="79E42098">
            <w:pPr>
              <w:pStyle w:val="6"/>
              <w:numPr>
                <w:ilvl w:val="0"/>
                <w:numId w:val="11"/>
              </w:numPr>
              <w:ind w:firstLineChars="0"/>
              <w:jc w:val="left"/>
              <w:rPr>
                <w:rFonts w:hint="eastAsia" w:ascii="宋体" w:hAnsi="宋体" w:cs="宋体"/>
                <w:color w:val="auto"/>
                <w:highlight w:val="none"/>
              </w:rPr>
            </w:pPr>
            <w:r>
              <w:rPr>
                <w:rFonts w:hint="eastAsia" w:ascii="宋体" w:hAnsi="宋体" w:cs="宋体"/>
                <w:color w:val="auto"/>
                <w:highlight w:val="none"/>
              </w:rPr>
              <w:t>竖直吊运位移不低于1500 mm。</w:t>
            </w:r>
          </w:p>
        </w:tc>
      </w:tr>
      <w:tr w14:paraId="4A277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1081" w:type="dxa"/>
            <w:noWrap w:val="0"/>
            <w:vAlign w:val="center"/>
          </w:tcPr>
          <w:p w14:paraId="45045C9A">
            <w:pPr>
              <w:jc w:val="center"/>
              <w:rPr>
                <w:rFonts w:hint="eastAsia" w:ascii="宋体" w:hAnsi="宋体" w:cs="宋体"/>
                <w:color w:val="auto"/>
                <w:highlight w:val="none"/>
              </w:rPr>
            </w:pPr>
            <w:r>
              <w:rPr>
                <w:rFonts w:hint="eastAsia" w:ascii="宋体" w:hAnsi="宋体" w:cs="宋体"/>
                <w:color w:val="auto"/>
                <w:highlight w:val="none"/>
              </w:rPr>
              <w:t>集成验收测试</w:t>
            </w:r>
          </w:p>
        </w:tc>
        <w:tc>
          <w:tcPr>
            <w:tcW w:w="1559" w:type="dxa"/>
            <w:noWrap w:val="0"/>
            <w:vAlign w:val="center"/>
          </w:tcPr>
          <w:p w14:paraId="40CAA345">
            <w:pPr>
              <w:jc w:val="center"/>
              <w:rPr>
                <w:rFonts w:hint="eastAsia" w:ascii="宋体" w:hAnsi="宋体" w:cs="宋体"/>
                <w:color w:val="auto"/>
                <w:highlight w:val="none"/>
              </w:rPr>
            </w:pPr>
            <w:r>
              <w:rPr>
                <w:rFonts w:hint="eastAsia" w:ascii="宋体" w:hAnsi="宋体" w:cs="宋体"/>
                <w:color w:val="auto"/>
                <w:highlight w:val="none"/>
              </w:rPr>
              <w:t>八分之一真空室遥操作验证平台</w:t>
            </w:r>
          </w:p>
        </w:tc>
        <w:tc>
          <w:tcPr>
            <w:tcW w:w="4479" w:type="dxa"/>
            <w:noWrap w:val="0"/>
            <w:vAlign w:val="center"/>
          </w:tcPr>
          <w:p w14:paraId="7D382558">
            <w:pPr>
              <w:jc w:val="left"/>
              <w:rPr>
                <w:rFonts w:hint="eastAsia" w:ascii="宋体" w:hAnsi="宋体" w:cs="宋体"/>
                <w:color w:val="auto"/>
                <w:highlight w:val="none"/>
              </w:rPr>
            </w:pPr>
            <w:r>
              <w:rPr>
                <w:rFonts w:hint="eastAsia" w:ascii="宋体" w:hAnsi="宋体" w:cs="宋体"/>
                <w:color w:val="auto"/>
                <w:highlight w:val="none"/>
              </w:rPr>
              <w:t>须同时满足以下验收要求</w:t>
            </w:r>
            <w:r>
              <w:rPr>
                <w:rFonts w:ascii="宋体" w:hAnsi="宋体" w:cs="宋体"/>
                <w:color w:val="auto"/>
                <w:highlight w:val="none"/>
              </w:rPr>
              <w:t>：</w:t>
            </w:r>
          </w:p>
          <w:p w14:paraId="011D970A">
            <w:pPr>
              <w:pStyle w:val="6"/>
              <w:numPr>
                <w:ilvl w:val="0"/>
                <w:numId w:val="12"/>
              </w:numPr>
              <w:ind w:firstLineChars="0"/>
              <w:jc w:val="left"/>
              <w:rPr>
                <w:rFonts w:ascii="宋体" w:hAnsi="宋体" w:cs="宋体"/>
                <w:color w:val="auto"/>
                <w:highlight w:val="none"/>
              </w:rPr>
            </w:pPr>
            <w:r>
              <w:rPr>
                <w:rFonts w:hint="eastAsia" w:ascii="宋体" w:hAnsi="宋体" w:cs="宋体"/>
                <w:color w:val="auto"/>
                <w:highlight w:val="none"/>
              </w:rPr>
              <w:t>工作空间测试：机械臂的工作空间能够覆盖单个扇区的5块包层，不与真空室发生干涉。</w:t>
            </w:r>
          </w:p>
          <w:p w14:paraId="31E66643">
            <w:pPr>
              <w:pStyle w:val="6"/>
              <w:numPr>
                <w:ilvl w:val="0"/>
                <w:numId w:val="12"/>
              </w:numPr>
              <w:ind w:firstLineChars="0"/>
              <w:jc w:val="left"/>
              <w:rPr>
                <w:rFonts w:ascii="宋体" w:hAnsi="宋体" w:cs="宋体"/>
                <w:color w:val="auto"/>
                <w:highlight w:val="none"/>
              </w:rPr>
            </w:pPr>
            <w:r>
              <w:rPr>
                <w:rFonts w:hint="eastAsia" w:ascii="宋体" w:hAnsi="宋体" w:cs="宋体"/>
                <w:color w:val="auto"/>
                <w:highlight w:val="none"/>
              </w:rPr>
              <w:t>低场侧包层拆装测试：负载不小于</w:t>
            </w:r>
            <w:r>
              <w:rPr>
                <w:rFonts w:ascii="宋体" w:hAnsi="宋体" w:cs="宋体"/>
                <w:color w:val="auto"/>
                <w:highlight w:val="none"/>
              </w:rPr>
              <w:t>15</w:t>
            </w:r>
            <w:r>
              <w:rPr>
                <w:rFonts w:hint="eastAsia" w:ascii="宋体" w:hAnsi="宋体" w:cs="宋体"/>
                <w:color w:val="auto"/>
                <w:highlight w:val="none"/>
              </w:rPr>
              <w:t>吨，运行平稳，重复定位精度小于±5mm。</w:t>
            </w:r>
          </w:p>
          <w:p w14:paraId="08333A97">
            <w:pPr>
              <w:pStyle w:val="6"/>
              <w:numPr>
                <w:ilvl w:val="0"/>
                <w:numId w:val="12"/>
              </w:numPr>
              <w:ind w:firstLineChars="0"/>
              <w:jc w:val="left"/>
              <w:rPr>
                <w:rFonts w:hint="eastAsia" w:ascii="宋体" w:hAnsi="宋体" w:cs="宋体"/>
                <w:color w:val="auto"/>
                <w:highlight w:val="none"/>
              </w:rPr>
            </w:pPr>
            <w:r>
              <w:rPr>
                <w:rFonts w:hint="eastAsia" w:ascii="宋体" w:hAnsi="宋体" w:cs="宋体"/>
                <w:color w:val="auto"/>
                <w:highlight w:val="none"/>
              </w:rPr>
              <w:t>高场侧包层拆装测试：负载</w:t>
            </w:r>
            <w:r>
              <w:rPr>
                <w:rFonts w:ascii="宋体" w:hAnsi="宋体" w:cs="宋体"/>
                <w:color w:val="auto"/>
                <w:highlight w:val="none"/>
              </w:rPr>
              <w:t>不小于5</w:t>
            </w:r>
            <w:r>
              <w:rPr>
                <w:rFonts w:hint="eastAsia" w:ascii="宋体" w:hAnsi="宋体" w:cs="宋体"/>
                <w:color w:val="auto"/>
                <w:highlight w:val="none"/>
              </w:rPr>
              <w:t>吨，运行平稳，重复定位精度小于±5mm。</w:t>
            </w:r>
          </w:p>
        </w:tc>
      </w:tr>
    </w:tbl>
    <w:p w14:paraId="2953CDA2">
      <w:pPr>
        <w:spacing w:line="360" w:lineRule="auto"/>
        <w:rPr>
          <w:rFonts w:hint="eastAsia" w:ascii="宋体" w:hAnsi="宋体" w:cs="宋体"/>
          <w:color w:val="auto"/>
          <w:sz w:val="24"/>
          <w:highlight w:val="none"/>
        </w:rPr>
      </w:pPr>
    </w:p>
    <w:p w14:paraId="07044D6A">
      <w:pPr>
        <w:adjustRightInd w:val="0"/>
        <w:snapToGrid w:val="0"/>
        <w:spacing w:before="120" w:beforeLines="50" w:line="360" w:lineRule="auto"/>
        <w:rPr>
          <w:b/>
          <w:color w:val="auto"/>
          <w:sz w:val="24"/>
          <w:highlight w:val="none"/>
        </w:rPr>
      </w:pPr>
      <w:r>
        <w:rPr>
          <w:b/>
          <w:color w:val="auto"/>
          <w:sz w:val="24"/>
          <w:highlight w:val="none"/>
        </w:rPr>
        <w:t>2.</w:t>
      </w:r>
      <w:r>
        <w:rPr>
          <w:rFonts w:hint="eastAsia"/>
          <w:b/>
          <w:color w:val="auto"/>
          <w:sz w:val="24"/>
          <w:highlight w:val="none"/>
        </w:rPr>
        <w:t xml:space="preserve">4、 </w:t>
      </w:r>
      <w:r>
        <w:rPr>
          <w:b/>
          <w:color w:val="auto"/>
          <w:sz w:val="24"/>
          <w:highlight w:val="none"/>
        </w:rPr>
        <w:t>技术服务要求及质保要求</w:t>
      </w:r>
    </w:p>
    <w:p w14:paraId="7119F140">
      <w:pPr>
        <w:spacing w:line="312" w:lineRule="auto"/>
        <w:rPr>
          <w:rFonts w:hint="eastAsia" w:ascii="宋体" w:hAnsi="宋体" w:cs="宋体"/>
          <w:color w:val="auto"/>
          <w:sz w:val="24"/>
          <w:highlight w:val="none"/>
        </w:rPr>
      </w:pPr>
      <w:bookmarkStart w:id="14" w:name="_Toc482273701"/>
      <w:r>
        <w:rPr>
          <w:rFonts w:hint="eastAsia" w:ascii="宋体" w:hAnsi="宋体" w:cs="宋体"/>
          <w:color w:val="auto"/>
          <w:sz w:val="24"/>
          <w:highlight w:val="none"/>
        </w:rPr>
        <w:t>2.4.1</w:t>
      </w:r>
      <w:bookmarkEnd w:id="14"/>
      <w:r>
        <w:rPr>
          <w:rFonts w:hint="eastAsia" w:ascii="宋体" w:hAnsi="宋体" w:cs="宋体"/>
          <w:color w:val="auto"/>
          <w:sz w:val="24"/>
          <w:highlight w:val="none"/>
        </w:rPr>
        <w:t xml:space="preserve"> 技术资料</w:t>
      </w:r>
    </w:p>
    <w:p w14:paraId="5D034A0A">
      <w:pPr>
        <w:pStyle w:val="6"/>
        <w:spacing w:line="360" w:lineRule="auto"/>
        <w:ind w:left="426" w:firstLine="0" w:firstLineChars="0"/>
        <w:rPr>
          <w:rFonts w:hint="eastAsia" w:ascii="宋体" w:hAnsi="宋体" w:cs="宋体"/>
          <w:color w:val="auto"/>
          <w:sz w:val="24"/>
          <w:highlight w:val="none"/>
        </w:rPr>
      </w:pPr>
      <w:r>
        <w:rPr>
          <w:rFonts w:hint="eastAsia" w:ascii="宋体" w:hAnsi="宋体" w:cs="宋体"/>
          <w:color w:val="auto"/>
          <w:sz w:val="24"/>
          <w:highlight w:val="none"/>
        </w:rPr>
        <w:t>中标方需提交的技术资料包括：</w:t>
      </w:r>
    </w:p>
    <w:p w14:paraId="05ED3A40">
      <w:pPr>
        <w:pStyle w:val="6"/>
        <w:numPr>
          <w:ilvl w:val="0"/>
          <w:numId w:val="13"/>
        </w:numPr>
        <w:spacing w:line="360" w:lineRule="auto"/>
        <w:ind w:left="426" w:firstLine="0" w:firstLineChars="0"/>
        <w:rPr>
          <w:rFonts w:hint="eastAsia" w:ascii="宋体" w:hAnsi="宋体" w:cs="宋体"/>
          <w:color w:val="auto"/>
          <w:sz w:val="24"/>
          <w:highlight w:val="none"/>
        </w:rPr>
      </w:pPr>
      <w:r>
        <w:rPr>
          <w:rFonts w:hint="eastAsia" w:ascii="宋体" w:hAnsi="宋体" w:cs="宋体"/>
          <w:color w:val="auto"/>
          <w:sz w:val="24"/>
          <w:highlight w:val="none"/>
        </w:rPr>
        <w:t>包层维护机械臂系统的设计资料（三维模型和图纸、详细设计报告、分析报告、控制系统原理图、电气控制原理图、控制软件源代码等）；</w:t>
      </w:r>
    </w:p>
    <w:p w14:paraId="38F14310">
      <w:pPr>
        <w:pStyle w:val="6"/>
        <w:numPr>
          <w:ilvl w:val="0"/>
          <w:numId w:val="13"/>
        </w:numPr>
        <w:spacing w:line="360" w:lineRule="auto"/>
        <w:ind w:left="426" w:firstLine="0" w:firstLineChars="0"/>
        <w:rPr>
          <w:rFonts w:hint="eastAsia" w:ascii="宋体" w:hAnsi="宋体" w:cs="宋体"/>
          <w:color w:val="auto"/>
          <w:sz w:val="24"/>
          <w:highlight w:val="none"/>
        </w:rPr>
      </w:pPr>
      <w:r>
        <w:rPr>
          <w:rFonts w:hint="eastAsia" w:ascii="宋体" w:hAnsi="宋体" w:cs="宋体"/>
          <w:color w:val="auto"/>
          <w:sz w:val="24"/>
          <w:highlight w:val="none"/>
        </w:rPr>
        <w:t>生产加工图纸、质量控制计划、验收报告、相关资料文件等；</w:t>
      </w:r>
    </w:p>
    <w:p w14:paraId="037B4523">
      <w:pPr>
        <w:pStyle w:val="6"/>
        <w:numPr>
          <w:ilvl w:val="0"/>
          <w:numId w:val="13"/>
        </w:numPr>
        <w:spacing w:line="360" w:lineRule="auto"/>
        <w:ind w:left="426" w:firstLine="0" w:firstLineChars="0"/>
        <w:rPr>
          <w:rFonts w:hint="eastAsia" w:ascii="宋体" w:hAnsi="宋体" w:cs="宋体"/>
          <w:color w:val="auto"/>
          <w:sz w:val="24"/>
          <w:highlight w:val="none"/>
        </w:rPr>
      </w:pPr>
      <w:r>
        <w:rPr>
          <w:rFonts w:hint="eastAsia" w:ascii="宋体" w:hAnsi="宋体" w:cs="宋体"/>
          <w:color w:val="auto"/>
          <w:sz w:val="24"/>
          <w:highlight w:val="none"/>
        </w:rPr>
        <w:t>详细的测试方案及测试报告；</w:t>
      </w:r>
    </w:p>
    <w:p w14:paraId="47B1ED56">
      <w:pPr>
        <w:pStyle w:val="6"/>
        <w:numPr>
          <w:ilvl w:val="0"/>
          <w:numId w:val="13"/>
        </w:numPr>
        <w:spacing w:line="360" w:lineRule="auto"/>
        <w:ind w:left="426" w:firstLine="0" w:firstLineChars="0"/>
        <w:rPr>
          <w:rFonts w:hint="eastAsia" w:ascii="宋体" w:hAnsi="宋体" w:cs="宋体"/>
          <w:color w:val="auto"/>
          <w:sz w:val="24"/>
          <w:highlight w:val="none"/>
        </w:rPr>
      </w:pPr>
      <w:r>
        <w:rPr>
          <w:rFonts w:hint="eastAsia" w:ascii="宋体" w:hAnsi="宋体" w:cs="宋体"/>
          <w:color w:val="auto"/>
          <w:sz w:val="24"/>
          <w:highlight w:val="none"/>
        </w:rPr>
        <w:t>设备清单（驱动部件、电气元器件、轴承等）及制造厂家信息；</w:t>
      </w:r>
    </w:p>
    <w:p w14:paraId="5590F591">
      <w:pPr>
        <w:pStyle w:val="6"/>
        <w:numPr>
          <w:ilvl w:val="0"/>
          <w:numId w:val="13"/>
        </w:numPr>
        <w:spacing w:line="360" w:lineRule="auto"/>
        <w:ind w:left="426" w:firstLine="0" w:firstLineChars="0"/>
        <w:rPr>
          <w:rFonts w:hint="eastAsia" w:ascii="宋体" w:hAnsi="宋体" w:cs="宋体"/>
          <w:color w:val="auto"/>
          <w:sz w:val="24"/>
          <w:highlight w:val="none"/>
        </w:rPr>
      </w:pPr>
      <w:r>
        <w:rPr>
          <w:rFonts w:hint="eastAsia" w:ascii="宋体" w:hAnsi="宋体" w:cs="宋体"/>
          <w:color w:val="auto"/>
          <w:sz w:val="24"/>
          <w:highlight w:val="none"/>
        </w:rPr>
        <w:t>提供设备使用说明书，控制系统操作及维护手册。</w:t>
      </w:r>
    </w:p>
    <w:p w14:paraId="6A0AB7D2">
      <w:pPr>
        <w:spacing w:line="312" w:lineRule="auto"/>
        <w:rPr>
          <w:rFonts w:hint="eastAsia" w:ascii="宋体" w:hAnsi="宋体" w:cs="宋体"/>
          <w:color w:val="auto"/>
          <w:sz w:val="24"/>
          <w:highlight w:val="none"/>
        </w:rPr>
      </w:pPr>
      <w:bookmarkStart w:id="15" w:name="_Toc482273702"/>
      <w:r>
        <w:rPr>
          <w:rFonts w:hint="eastAsia" w:ascii="宋体" w:hAnsi="宋体" w:cs="宋体"/>
          <w:color w:val="auto"/>
          <w:sz w:val="24"/>
          <w:highlight w:val="none"/>
        </w:rPr>
        <w:t>2.4.2 运输、安装和调试</w:t>
      </w:r>
      <w:bookmarkEnd w:id="15"/>
      <w:r>
        <w:rPr>
          <w:rFonts w:hint="eastAsia" w:ascii="宋体" w:hAnsi="宋体" w:cs="宋体"/>
          <w:color w:val="auto"/>
          <w:sz w:val="24"/>
          <w:highlight w:val="none"/>
        </w:rPr>
        <w:t xml:space="preserve"> </w:t>
      </w:r>
    </w:p>
    <w:p w14:paraId="188A7E96">
      <w:pPr>
        <w:spacing w:line="360" w:lineRule="auto"/>
        <w:ind w:firstLine="420"/>
        <w:rPr>
          <w:rFonts w:hint="eastAsia" w:ascii="宋体" w:hAnsi="宋体" w:cs="宋体"/>
          <w:color w:val="auto"/>
          <w:sz w:val="24"/>
          <w:highlight w:val="none"/>
        </w:rPr>
      </w:pPr>
      <w:r>
        <w:rPr>
          <w:rFonts w:hint="eastAsia" w:ascii="宋体" w:hAnsi="宋体" w:cs="宋体"/>
          <w:color w:val="auto"/>
          <w:sz w:val="24"/>
          <w:highlight w:val="none"/>
        </w:rPr>
        <w:t>（1）设备由中标方负责包装、运输、安装及调试；包装物应符合国家环保要求。</w:t>
      </w:r>
    </w:p>
    <w:p w14:paraId="3B8A5EA7">
      <w:pPr>
        <w:spacing w:line="360" w:lineRule="auto"/>
        <w:ind w:firstLine="420"/>
        <w:rPr>
          <w:rFonts w:hint="eastAsia" w:ascii="宋体" w:hAnsi="宋体" w:cs="宋体"/>
          <w:color w:val="auto"/>
          <w:sz w:val="24"/>
          <w:highlight w:val="none"/>
        </w:rPr>
      </w:pPr>
      <w:r>
        <w:rPr>
          <w:rFonts w:hint="eastAsia" w:ascii="宋体" w:hAnsi="宋体" w:cs="宋体"/>
          <w:color w:val="auto"/>
          <w:sz w:val="24"/>
          <w:highlight w:val="none"/>
        </w:rPr>
        <w:t>（2）包装须防震、防水、防锈；中标方对运输过程中的设备安全负责。</w:t>
      </w:r>
    </w:p>
    <w:p w14:paraId="27F20237">
      <w:pPr>
        <w:spacing w:line="360" w:lineRule="auto"/>
        <w:ind w:firstLine="420"/>
        <w:rPr>
          <w:rFonts w:hint="eastAsia" w:ascii="宋体" w:hAnsi="宋体" w:cs="宋体"/>
          <w:color w:val="auto"/>
          <w:sz w:val="24"/>
          <w:highlight w:val="none"/>
        </w:rPr>
      </w:pPr>
      <w:r>
        <w:rPr>
          <w:rFonts w:hint="eastAsia" w:ascii="宋体" w:hAnsi="宋体" w:cs="宋体"/>
          <w:color w:val="auto"/>
          <w:sz w:val="24"/>
          <w:highlight w:val="none"/>
        </w:rPr>
        <w:t>（3）设备到达招标方后，招标方通知中标方到现场共同开箱检查。</w:t>
      </w:r>
    </w:p>
    <w:p w14:paraId="0A3BCA46">
      <w:pPr>
        <w:spacing w:line="360" w:lineRule="auto"/>
        <w:ind w:firstLine="420"/>
        <w:rPr>
          <w:rFonts w:hint="eastAsia" w:ascii="宋体" w:hAnsi="宋体" w:cs="宋体"/>
          <w:color w:val="auto"/>
          <w:sz w:val="24"/>
          <w:highlight w:val="none"/>
        </w:rPr>
      </w:pPr>
      <w:r>
        <w:rPr>
          <w:rFonts w:hint="eastAsia" w:ascii="宋体" w:hAnsi="宋体" w:cs="宋体"/>
          <w:color w:val="auto"/>
          <w:sz w:val="24"/>
          <w:highlight w:val="none"/>
        </w:rPr>
        <w:t xml:space="preserve">（4）招标方提供用于设备卸载、定位和装配的通道、工具、起重设施以及相应的水电气条件，并安排人员配合中标方的安装调试工作。 </w:t>
      </w:r>
    </w:p>
    <w:p w14:paraId="4CBE9EF7">
      <w:pPr>
        <w:spacing w:line="360" w:lineRule="auto"/>
        <w:ind w:firstLine="420"/>
        <w:rPr>
          <w:rFonts w:hint="eastAsia" w:ascii="宋体" w:hAnsi="宋体" w:cs="宋体"/>
          <w:color w:val="auto"/>
          <w:sz w:val="24"/>
          <w:highlight w:val="none"/>
        </w:rPr>
      </w:pPr>
      <w:r>
        <w:rPr>
          <w:rFonts w:hint="eastAsia" w:ascii="宋体" w:hAnsi="宋体" w:cs="宋体"/>
          <w:color w:val="auto"/>
          <w:sz w:val="24"/>
          <w:highlight w:val="none"/>
        </w:rPr>
        <w:t>（5）安装调试及终验收所用的专用工具、量具由中标方自备。</w:t>
      </w:r>
    </w:p>
    <w:p w14:paraId="15BC011B">
      <w:pPr>
        <w:spacing w:line="360" w:lineRule="auto"/>
        <w:ind w:firstLine="420"/>
        <w:rPr>
          <w:rFonts w:hint="eastAsia" w:ascii="宋体" w:hAnsi="宋体" w:cs="宋体"/>
          <w:color w:val="auto"/>
          <w:sz w:val="24"/>
          <w:highlight w:val="none"/>
        </w:rPr>
      </w:pPr>
      <w:r>
        <w:rPr>
          <w:rFonts w:hint="eastAsia" w:ascii="宋体" w:hAnsi="宋体" w:cs="宋体"/>
          <w:color w:val="auto"/>
          <w:sz w:val="24"/>
          <w:highlight w:val="none"/>
        </w:rPr>
        <w:t>（6）安装调试期间中标方应该详细全面解答招标方提出的操作、维修、工艺和控制等方面的全部技术问题。</w:t>
      </w:r>
    </w:p>
    <w:p w14:paraId="2659EF28">
      <w:pPr>
        <w:spacing w:line="360" w:lineRule="auto"/>
        <w:rPr>
          <w:rFonts w:hint="eastAsia" w:ascii="宋体" w:hAnsi="宋体" w:cs="宋体"/>
          <w:color w:val="auto"/>
          <w:sz w:val="24"/>
          <w:highlight w:val="none"/>
        </w:rPr>
      </w:pPr>
      <w:r>
        <w:rPr>
          <w:rFonts w:hint="eastAsia" w:ascii="宋体" w:hAnsi="宋体" w:cs="宋体"/>
          <w:color w:val="auto"/>
          <w:sz w:val="24"/>
          <w:highlight w:val="none"/>
        </w:rPr>
        <w:t>2.4.3 售后和质保</w:t>
      </w:r>
    </w:p>
    <w:p w14:paraId="26F7371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设备保修期为签署终验收报告之日起至少2年。在设备保修期内，中标方对设备出现的各类故障应及时免费提供维修服务。对非人为造成的各类零件损坏，应及时免费更换，所更换部件保修期从更换日期起重新计算。</w:t>
      </w:r>
    </w:p>
    <w:p w14:paraId="2BB9A57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中标方负责解决招标方在技术设备及控制系统实施过程中的现场技术问题，并在收到招标方问题24小时之内给出回复或到达招标方设备使用现场。</w:t>
      </w:r>
    </w:p>
    <w:p w14:paraId="11AB5DF0">
      <w:pPr>
        <w:spacing w:line="360" w:lineRule="auto"/>
        <w:ind w:firstLine="480" w:firstLineChars="200"/>
        <w:rPr>
          <w:b/>
          <w:color w:val="auto"/>
          <w:sz w:val="24"/>
          <w:highlight w:val="none"/>
        </w:rPr>
      </w:pPr>
      <w:r>
        <w:rPr>
          <w:rFonts w:hint="eastAsia" w:ascii="宋体" w:hAnsi="宋体" w:cs="宋体"/>
          <w:color w:val="auto"/>
          <w:sz w:val="24"/>
          <w:highlight w:val="none"/>
        </w:rPr>
        <w:t>培训在招标方设备安装场地进行，对招标方的技术人员、操作人员（操作、保养、维修等）安排培训指导，至招标方相关人员可以独立操作使用设备系统。</w:t>
      </w:r>
    </w:p>
    <w:p w14:paraId="4726E3F2">
      <w:pPr>
        <w:adjustRightInd w:val="0"/>
        <w:snapToGrid w:val="0"/>
        <w:spacing w:before="120" w:beforeLines="50" w:line="360" w:lineRule="auto"/>
        <w:rPr>
          <w:b/>
          <w:color w:val="auto"/>
          <w:sz w:val="24"/>
          <w:highlight w:val="none"/>
        </w:rPr>
      </w:pPr>
      <w:r>
        <w:rPr>
          <w:b/>
          <w:color w:val="auto"/>
          <w:sz w:val="24"/>
          <w:highlight w:val="none"/>
        </w:rPr>
        <w:t>2.</w:t>
      </w:r>
      <w:r>
        <w:rPr>
          <w:rFonts w:hint="eastAsia"/>
          <w:b/>
          <w:color w:val="auto"/>
          <w:sz w:val="24"/>
          <w:highlight w:val="none"/>
        </w:rPr>
        <w:t>5、</w:t>
      </w:r>
      <w:r>
        <w:rPr>
          <w:b/>
          <w:color w:val="auto"/>
          <w:sz w:val="24"/>
          <w:highlight w:val="none"/>
        </w:rPr>
        <w:t>验收标准及验收程序</w:t>
      </w:r>
      <w:r>
        <w:rPr>
          <w:b/>
          <w:color w:val="auto"/>
          <w:sz w:val="24"/>
          <w:highlight w:val="none"/>
        </w:rPr>
        <w:tab/>
      </w:r>
    </w:p>
    <w:p w14:paraId="60EF4667">
      <w:pPr>
        <w:spacing w:line="360" w:lineRule="auto"/>
        <w:ind w:firstLine="420"/>
        <w:rPr>
          <w:rFonts w:hint="eastAsia"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rPr>
        <w:tab/>
      </w:r>
      <w:r>
        <w:rPr>
          <w:rFonts w:hint="eastAsia" w:ascii="宋体" w:hAnsi="宋体" w:cs="宋体"/>
          <w:color w:val="auto"/>
          <w:sz w:val="24"/>
          <w:highlight w:val="none"/>
        </w:rPr>
        <w:t>设计方案审查</w:t>
      </w:r>
    </w:p>
    <w:p w14:paraId="525962C8">
      <w:pPr>
        <w:spacing w:line="360" w:lineRule="auto"/>
        <w:ind w:firstLine="420"/>
        <w:rPr>
          <w:rFonts w:hint="eastAsia" w:ascii="宋体" w:hAnsi="宋体" w:cs="宋体"/>
          <w:color w:val="auto"/>
          <w:sz w:val="24"/>
          <w:highlight w:val="none"/>
        </w:rPr>
      </w:pPr>
      <w:r>
        <w:rPr>
          <w:rFonts w:hint="eastAsia" w:ascii="宋体" w:hAnsi="宋体" w:cs="宋体"/>
          <w:color w:val="auto"/>
          <w:sz w:val="24"/>
          <w:highlight w:val="none"/>
        </w:rPr>
        <w:t>方案设计完成后应经招标方评审合格，并且中标方对包层维护机械臂系统设计的合理性和设计参数负责。</w:t>
      </w:r>
    </w:p>
    <w:p w14:paraId="46C34D4B">
      <w:pPr>
        <w:spacing w:line="360" w:lineRule="auto"/>
        <w:ind w:firstLine="420"/>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rPr>
        <w:tab/>
      </w:r>
      <w:r>
        <w:rPr>
          <w:rFonts w:hint="eastAsia" w:ascii="宋体" w:hAnsi="宋体" w:cs="宋体"/>
          <w:color w:val="auto"/>
          <w:sz w:val="24"/>
          <w:highlight w:val="none"/>
        </w:rPr>
        <w:t>验收内容</w:t>
      </w:r>
    </w:p>
    <w:p w14:paraId="230E8549">
      <w:pPr>
        <w:spacing w:line="360" w:lineRule="auto"/>
        <w:ind w:firstLine="420"/>
        <w:rPr>
          <w:rFonts w:hint="eastAsia" w:ascii="宋体" w:hAnsi="宋体" w:cs="宋体"/>
          <w:color w:val="auto"/>
          <w:sz w:val="24"/>
          <w:highlight w:val="none"/>
        </w:rPr>
      </w:pPr>
      <w:r>
        <w:rPr>
          <w:rFonts w:hint="eastAsia" w:ascii="宋体" w:hAnsi="宋体" w:cs="宋体"/>
          <w:color w:val="auto"/>
          <w:sz w:val="24"/>
          <w:highlight w:val="none"/>
        </w:rPr>
        <w:t>验收内容包括外观质量、技术指标、备品备件检验和技术资料验收等。</w:t>
      </w:r>
    </w:p>
    <w:p w14:paraId="5AC03ACA">
      <w:pPr>
        <w:spacing w:line="360" w:lineRule="auto"/>
        <w:ind w:firstLine="420"/>
        <w:rPr>
          <w:rFonts w:hint="eastAsia"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rPr>
        <w:tab/>
      </w:r>
      <w:r>
        <w:rPr>
          <w:rFonts w:hint="eastAsia" w:ascii="宋体" w:hAnsi="宋体" w:cs="宋体"/>
          <w:color w:val="auto"/>
          <w:sz w:val="24"/>
          <w:highlight w:val="none"/>
        </w:rPr>
        <w:t>检验标准</w:t>
      </w:r>
    </w:p>
    <w:p w14:paraId="2A9BD7A6">
      <w:pPr>
        <w:spacing w:line="360" w:lineRule="auto"/>
        <w:ind w:firstLine="420"/>
        <w:rPr>
          <w:rFonts w:hint="eastAsia" w:ascii="宋体" w:hAnsi="宋体" w:cs="宋体"/>
          <w:color w:val="auto"/>
          <w:sz w:val="24"/>
          <w:highlight w:val="none"/>
        </w:rPr>
      </w:pPr>
      <w:r>
        <w:rPr>
          <w:rFonts w:hint="eastAsia" w:ascii="宋体" w:hAnsi="宋体" w:cs="宋体"/>
          <w:color w:val="auto"/>
          <w:sz w:val="24"/>
          <w:highlight w:val="none"/>
        </w:rPr>
        <w:t>ISO 9001:2015标准规定，本招标文件要求以及相关国家、行业和企业规范要求。投标文件中应列明有关标准的重要具体内容。</w:t>
      </w:r>
    </w:p>
    <w:p w14:paraId="7801BCDE">
      <w:pPr>
        <w:spacing w:line="360" w:lineRule="auto"/>
        <w:ind w:firstLine="420"/>
        <w:rPr>
          <w:rFonts w:hint="eastAsia" w:ascii="宋体" w:hAnsi="宋体" w:cs="宋体"/>
          <w:color w:val="auto"/>
          <w:sz w:val="24"/>
          <w:highlight w:val="none"/>
        </w:rPr>
      </w:pPr>
      <w:r>
        <w:rPr>
          <w:rFonts w:hint="eastAsia" w:ascii="宋体" w:hAnsi="宋体" w:cs="宋体"/>
          <w:color w:val="auto"/>
          <w:sz w:val="24"/>
          <w:highlight w:val="none"/>
        </w:rPr>
        <w:t>（4）</w:t>
      </w:r>
      <w:r>
        <w:rPr>
          <w:rFonts w:hint="eastAsia" w:ascii="宋体" w:hAnsi="宋体" w:cs="宋体"/>
          <w:color w:val="auto"/>
          <w:sz w:val="24"/>
          <w:highlight w:val="none"/>
        </w:rPr>
        <w:tab/>
      </w:r>
      <w:r>
        <w:rPr>
          <w:rFonts w:hint="eastAsia" w:ascii="宋体" w:hAnsi="宋体" w:cs="宋体"/>
          <w:color w:val="auto"/>
          <w:sz w:val="24"/>
          <w:highlight w:val="none"/>
        </w:rPr>
        <w:t>出厂验收</w:t>
      </w:r>
    </w:p>
    <w:p w14:paraId="5B8A2819">
      <w:pPr>
        <w:spacing w:line="360" w:lineRule="auto"/>
        <w:ind w:firstLine="420"/>
        <w:rPr>
          <w:rFonts w:hint="eastAsia" w:ascii="宋体" w:hAnsi="宋体" w:cs="宋体"/>
          <w:color w:val="auto"/>
          <w:sz w:val="24"/>
          <w:highlight w:val="none"/>
        </w:rPr>
      </w:pPr>
      <w:r>
        <w:rPr>
          <w:rFonts w:hint="eastAsia" w:ascii="宋体" w:hAnsi="宋体" w:cs="宋体"/>
          <w:color w:val="auto"/>
          <w:sz w:val="24"/>
          <w:highlight w:val="none"/>
        </w:rPr>
        <w:t>中标方应定期向招标方提供包层维护机械臂系统研制进展，招标方分阶段进行验收，验收形式经双方讨论决定，验收项包括技术方案、产品外观、关键技术指标测试等。</w:t>
      </w:r>
    </w:p>
    <w:p w14:paraId="65E182EE">
      <w:pPr>
        <w:spacing w:line="360" w:lineRule="auto"/>
        <w:ind w:firstLine="420"/>
        <w:rPr>
          <w:rFonts w:hint="eastAsia" w:ascii="宋体" w:hAnsi="宋体" w:cs="宋体"/>
          <w:color w:val="auto"/>
          <w:sz w:val="24"/>
          <w:highlight w:val="none"/>
        </w:rPr>
      </w:pPr>
      <w:r>
        <w:rPr>
          <w:rFonts w:hint="eastAsia" w:ascii="宋体" w:hAnsi="宋体" w:cs="宋体"/>
          <w:color w:val="auto"/>
          <w:sz w:val="24"/>
          <w:highlight w:val="none"/>
        </w:rPr>
        <w:t>（5）  交付验收</w:t>
      </w:r>
    </w:p>
    <w:p w14:paraId="48D000C8">
      <w:pPr>
        <w:spacing w:line="360" w:lineRule="auto"/>
        <w:ind w:firstLine="420"/>
      </w:pPr>
      <w:r>
        <w:rPr>
          <w:rFonts w:hint="eastAsia" w:ascii="宋体" w:hAnsi="宋体" w:cs="宋体"/>
          <w:color w:val="auto"/>
          <w:sz w:val="24"/>
          <w:highlight w:val="none"/>
        </w:rPr>
        <w:t>设备加工完成并运至招标方现场，双方共同在八分之一真空室平台上进行包层维护机械臂系统的最终验收。中标方负责系统的现场实施和验证，招标方配合中标方进行相关内容验收。验收内容包括技术资料、实验报告、以及一些关键指标现场测试等。</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392D51"/>
    <w:multiLevelType w:val="singleLevel"/>
    <w:tmpl w:val="E1392D51"/>
    <w:lvl w:ilvl="0" w:tentative="0">
      <w:start w:val="1"/>
      <w:numFmt w:val="lowerLetter"/>
      <w:lvlText w:val="%1)"/>
      <w:lvlJc w:val="left"/>
      <w:pPr>
        <w:tabs>
          <w:tab w:val="left" w:pos="312"/>
        </w:tabs>
      </w:pPr>
    </w:lvl>
  </w:abstractNum>
  <w:abstractNum w:abstractNumId="1">
    <w:nsid w:val="028E4042"/>
    <w:multiLevelType w:val="multilevel"/>
    <w:tmpl w:val="028E4042"/>
    <w:lvl w:ilvl="0" w:tentative="0">
      <w:start w:val="1"/>
      <w:numFmt w:val="decimal"/>
      <w:lvlText w:val="%1)"/>
      <w:lvlJc w:val="left"/>
      <w:pPr>
        <w:ind w:left="920" w:hanging="440"/>
      </w:p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2">
    <w:nsid w:val="033A00C0"/>
    <w:multiLevelType w:val="multilevel"/>
    <w:tmpl w:val="033A00C0"/>
    <w:lvl w:ilvl="0" w:tentative="0">
      <w:start w:val="1"/>
      <w:numFmt w:val="low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0F01453D"/>
    <w:multiLevelType w:val="multilevel"/>
    <w:tmpl w:val="0F01453D"/>
    <w:lvl w:ilvl="0" w:tentative="0">
      <w:start w:val="1"/>
      <w:numFmt w:val="decimal"/>
      <w:lvlText w:val="(%1)"/>
      <w:lvlJc w:val="left"/>
      <w:pPr>
        <w:ind w:left="1134" w:hanging="654"/>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4">
    <w:nsid w:val="1A1009E2"/>
    <w:multiLevelType w:val="multilevel"/>
    <w:tmpl w:val="1A1009E2"/>
    <w:lvl w:ilvl="0" w:tentative="0">
      <w:start w:val="1"/>
      <w:numFmt w:val="low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258F0E70"/>
    <w:multiLevelType w:val="multilevel"/>
    <w:tmpl w:val="258F0E70"/>
    <w:lvl w:ilvl="0" w:tentative="0">
      <w:start w:val="1"/>
      <w:numFmt w:val="decimal"/>
      <w:lvlText w:val="%1)"/>
      <w:lvlJc w:val="left"/>
      <w:pPr>
        <w:ind w:left="920" w:hanging="440"/>
      </w:p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6">
    <w:nsid w:val="342E0FAF"/>
    <w:multiLevelType w:val="multilevel"/>
    <w:tmpl w:val="342E0FAF"/>
    <w:lvl w:ilvl="0" w:tentative="0">
      <w:start w:val="1"/>
      <w:numFmt w:val="lowerLetter"/>
      <w:lvlText w:val="%1)"/>
      <w:lvlJc w:val="left"/>
      <w:pPr>
        <w:ind w:left="1360" w:hanging="440"/>
      </w:pPr>
    </w:lvl>
    <w:lvl w:ilvl="1" w:tentative="0">
      <w:start w:val="1"/>
      <w:numFmt w:val="lowerLetter"/>
      <w:lvlText w:val="%2)"/>
      <w:lvlJc w:val="left"/>
      <w:pPr>
        <w:ind w:left="1800" w:hanging="440"/>
      </w:pPr>
    </w:lvl>
    <w:lvl w:ilvl="2" w:tentative="0">
      <w:start w:val="1"/>
      <w:numFmt w:val="lowerRoman"/>
      <w:lvlText w:val="%3."/>
      <w:lvlJc w:val="right"/>
      <w:pPr>
        <w:ind w:left="2240" w:hanging="440"/>
      </w:pPr>
    </w:lvl>
    <w:lvl w:ilvl="3" w:tentative="0">
      <w:start w:val="1"/>
      <w:numFmt w:val="decimal"/>
      <w:lvlText w:val="%4."/>
      <w:lvlJc w:val="left"/>
      <w:pPr>
        <w:ind w:left="2680" w:hanging="440"/>
      </w:pPr>
    </w:lvl>
    <w:lvl w:ilvl="4" w:tentative="0">
      <w:start w:val="1"/>
      <w:numFmt w:val="lowerLetter"/>
      <w:lvlText w:val="%5)"/>
      <w:lvlJc w:val="left"/>
      <w:pPr>
        <w:ind w:left="3120" w:hanging="440"/>
      </w:pPr>
    </w:lvl>
    <w:lvl w:ilvl="5" w:tentative="0">
      <w:start w:val="1"/>
      <w:numFmt w:val="lowerRoman"/>
      <w:lvlText w:val="%6."/>
      <w:lvlJc w:val="right"/>
      <w:pPr>
        <w:ind w:left="3560" w:hanging="440"/>
      </w:pPr>
    </w:lvl>
    <w:lvl w:ilvl="6" w:tentative="0">
      <w:start w:val="1"/>
      <w:numFmt w:val="decimal"/>
      <w:lvlText w:val="%7."/>
      <w:lvlJc w:val="left"/>
      <w:pPr>
        <w:ind w:left="4000" w:hanging="440"/>
      </w:pPr>
    </w:lvl>
    <w:lvl w:ilvl="7" w:tentative="0">
      <w:start w:val="1"/>
      <w:numFmt w:val="lowerLetter"/>
      <w:lvlText w:val="%8)"/>
      <w:lvlJc w:val="left"/>
      <w:pPr>
        <w:ind w:left="4440" w:hanging="440"/>
      </w:pPr>
    </w:lvl>
    <w:lvl w:ilvl="8" w:tentative="0">
      <w:start w:val="1"/>
      <w:numFmt w:val="lowerRoman"/>
      <w:lvlText w:val="%9."/>
      <w:lvlJc w:val="right"/>
      <w:pPr>
        <w:ind w:left="4880" w:hanging="440"/>
      </w:pPr>
    </w:lvl>
  </w:abstractNum>
  <w:abstractNum w:abstractNumId="7">
    <w:nsid w:val="4FB34377"/>
    <w:multiLevelType w:val="multilevel"/>
    <w:tmpl w:val="4FB34377"/>
    <w:lvl w:ilvl="0" w:tentative="0">
      <w:start w:val="1"/>
      <w:numFmt w:val="decimal"/>
      <w:lvlText w:val="%1)"/>
      <w:lvlJc w:val="left"/>
      <w:pPr>
        <w:ind w:left="920" w:hanging="440"/>
      </w:p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8">
    <w:nsid w:val="55206B7F"/>
    <w:multiLevelType w:val="multilevel"/>
    <w:tmpl w:val="55206B7F"/>
    <w:lvl w:ilvl="0" w:tentative="0">
      <w:start w:val="1"/>
      <w:numFmt w:val="decimal"/>
      <w:lvlText w:val="%1)"/>
      <w:lvlJc w:val="left"/>
      <w:pPr>
        <w:ind w:left="1134" w:hanging="654"/>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9">
    <w:nsid w:val="6A6D27F6"/>
    <w:multiLevelType w:val="multilevel"/>
    <w:tmpl w:val="6A6D27F6"/>
    <w:lvl w:ilvl="0" w:tentative="0">
      <w:start w:val="2"/>
      <w:numFmt w:val="decimal"/>
      <w:lvlText w:val="%1"/>
      <w:lvlJc w:val="left"/>
      <w:pPr>
        <w:ind w:left="636" w:hanging="636"/>
      </w:pPr>
      <w:rPr>
        <w:rFonts w:hint="default"/>
      </w:rPr>
    </w:lvl>
    <w:lvl w:ilvl="1" w:tentative="0">
      <w:start w:val="3"/>
      <w:numFmt w:val="decimal"/>
      <w:lvlText w:val="%1.%2"/>
      <w:lvlJc w:val="left"/>
      <w:pPr>
        <w:ind w:left="636" w:hanging="636"/>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10">
    <w:nsid w:val="717F5930"/>
    <w:multiLevelType w:val="multilevel"/>
    <w:tmpl w:val="717F5930"/>
    <w:lvl w:ilvl="0" w:tentative="0">
      <w:start w:val="1"/>
      <w:numFmt w:val="decimal"/>
      <w:lvlText w:val="(%1)"/>
      <w:lvlJc w:val="left"/>
      <w:pPr>
        <w:ind w:left="860" w:hanging="440"/>
      </w:pPr>
      <w:rPr>
        <w:rFonts w:hint="eastAsia"/>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11">
    <w:nsid w:val="75773385"/>
    <w:multiLevelType w:val="multilevel"/>
    <w:tmpl w:val="75773385"/>
    <w:lvl w:ilvl="0" w:tentative="0">
      <w:start w:val="1"/>
      <w:numFmt w:val="decimal"/>
      <w:lvlText w:val="%1)"/>
      <w:lvlJc w:val="left"/>
      <w:pPr>
        <w:ind w:left="920" w:hanging="440"/>
      </w:p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2">
    <w:nsid w:val="7C563746"/>
    <w:multiLevelType w:val="multilevel"/>
    <w:tmpl w:val="7C563746"/>
    <w:lvl w:ilvl="0" w:tentative="0">
      <w:start w:val="1"/>
      <w:numFmt w:val="decimal"/>
      <w:lvlText w:val="%1)"/>
      <w:lvlJc w:val="left"/>
      <w:pPr>
        <w:ind w:left="920" w:hanging="440"/>
      </w:p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num w:numId="1">
    <w:abstractNumId w:val="10"/>
  </w:num>
  <w:num w:numId="2">
    <w:abstractNumId w:val="5"/>
  </w:num>
  <w:num w:numId="3">
    <w:abstractNumId w:val="12"/>
  </w:num>
  <w:num w:numId="4">
    <w:abstractNumId w:val="9"/>
  </w:num>
  <w:num w:numId="5">
    <w:abstractNumId w:val="8"/>
  </w:num>
  <w:num w:numId="6">
    <w:abstractNumId w:val="3"/>
  </w:num>
  <w:num w:numId="7">
    <w:abstractNumId w:val="6"/>
  </w:num>
  <w:num w:numId="8">
    <w:abstractNumId w:val="11"/>
  </w:num>
  <w:num w:numId="9">
    <w:abstractNumId w:val="1"/>
  </w:num>
  <w:num w:numId="10">
    <w:abstractNumId w:val="7"/>
  </w:num>
  <w:num w:numId="11">
    <w:abstractNumId w:val="4"/>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7F46D1"/>
    <w:rsid w:val="12FF7BA5"/>
    <w:rsid w:val="6B7F46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before="340" w:beforeLines="0" w:after="330" w:afterLines="0" w:line="578" w:lineRule="auto"/>
      <w:outlineLvl w:val="0"/>
    </w:pPr>
    <w:rPr>
      <w:b/>
      <w:bCs/>
      <w:kern w:val="44"/>
      <w:sz w:val="44"/>
      <w:szCs w:val="44"/>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caption"/>
    <w:basedOn w:val="1"/>
    <w:next w:val="1"/>
    <w:qFormat/>
    <w:uiPriority w:val="0"/>
    <w:pPr>
      <w:adjustRightInd w:val="0"/>
      <w:spacing w:before="152" w:beforeLines="0" w:after="160" w:afterLines="0" w:line="360" w:lineRule="atLeast"/>
      <w:jc w:val="left"/>
      <w:textAlignment w:val="baseline"/>
    </w:pPr>
    <w:rPr>
      <w:rFonts w:ascii="Arial" w:hAnsi="Arial" w:eastAsia="黑体"/>
      <w:kern w:val="0"/>
      <w:sz w:val="24"/>
    </w:r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5587</Words>
  <Characters>5733</Characters>
  <Lines>0</Lines>
  <Paragraphs>0</Paragraphs>
  <TotalTime>0</TotalTime>
  <ScaleCrop>false</ScaleCrop>
  <LinksUpToDate>false</LinksUpToDate>
  <CharactersWithSpaces>5776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2026-01-21T02:22:00Z</dcterms:created>
  <dc:creator>宋方方</dc:creator>
  <cp:lastModifiedBy>宋方方</cp:lastModifiedBy>
  <dcterms:modified xsi:type="dcterms:W3CDTF">2026-01-21T08:03:38Z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12C6EE699FC5460C80776433811A338B_11</vt:lpwstr>
  </property>
  <property fmtid="{D5CDD505-2E9C-101B-9397-08002B2CF9AE}" pid="4" name="KSOTemplateDocerSaveRecord">
    <vt:lpwstr>eyJoZGlkIjoiY2ZjZDI4YmRkZDY3MGZmNjNjY2JiZTFlYmI4OWM0ZWEiLCJ1c2VySWQiOiIxNzYzODEyODI4In0=</vt:lpwstr>
  </property>
</Properties>
</file>