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60995">
      <w:pPr>
        <w:pStyle w:val="2"/>
        <w:widowControl/>
        <w:snapToGrid w:val="0"/>
        <w:spacing w:before="0" w:after="0" w:line="360" w:lineRule="auto"/>
        <w:jc w:val="center"/>
        <w:rPr>
          <w:rFonts w:hint="eastAsia" w:ascii="宋体" w:hAnsi="宋体"/>
          <w:color w:val="auto"/>
          <w:highlight w:val="none"/>
        </w:rPr>
      </w:pPr>
      <w:r>
        <w:rPr>
          <w:rFonts w:hint="eastAsia" w:ascii="宋体" w:hAnsi="宋体"/>
          <w:color w:val="auto"/>
          <w:highlight w:val="none"/>
        </w:rPr>
        <w:t>采购需求及技术规格要求</w:t>
      </w:r>
    </w:p>
    <w:p w14:paraId="13BBF071">
      <w:pPr>
        <w:adjustRightInd w:val="0"/>
        <w:snapToGrid w:val="0"/>
        <w:spacing w:before="120" w:beforeLines="50" w:line="360" w:lineRule="auto"/>
        <w:rPr>
          <w:rFonts w:hint="eastAsia" w:ascii="宋体" w:hAnsi="宋体"/>
          <w:b/>
          <w:color w:val="auto"/>
          <w:sz w:val="24"/>
          <w:highlight w:val="none"/>
        </w:rPr>
      </w:pPr>
      <w:bookmarkStart w:id="0" w:name="_Hlk60938700"/>
      <w:r>
        <w:rPr>
          <w:rFonts w:hint="eastAsia" w:ascii="宋体" w:hAnsi="宋体"/>
          <w:b/>
          <w:color w:val="auto"/>
          <w:sz w:val="24"/>
          <w:highlight w:val="none"/>
        </w:rPr>
        <w:t>1 货物需求一览表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386"/>
        <w:gridCol w:w="1355"/>
      </w:tblGrid>
      <w:tr w14:paraId="63C5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15C49C6B">
            <w:pPr>
              <w:jc w:val="center"/>
              <w:rPr>
                <w:rFonts w:hint="eastAsia" w:ascii="等线" w:hAnsi="等线" w:eastAsia="等线"/>
                <w:b/>
                <w:bCs/>
                <w:color w:val="auto"/>
                <w:highlight w:val="none"/>
              </w:rPr>
            </w:pPr>
            <w:r>
              <w:rPr>
                <w:rFonts w:hint="eastAsia" w:ascii="等线" w:hAnsi="等线" w:eastAsia="等线"/>
                <w:b/>
                <w:bCs/>
                <w:color w:val="auto"/>
                <w:highlight w:val="none"/>
              </w:rPr>
              <w:t>序号</w:t>
            </w:r>
          </w:p>
        </w:tc>
        <w:tc>
          <w:tcPr>
            <w:tcW w:w="5386" w:type="dxa"/>
            <w:noWrap w:val="0"/>
            <w:vAlign w:val="center"/>
          </w:tcPr>
          <w:p w14:paraId="219C1EDC">
            <w:pPr>
              <w:jc w:val="center"/>
              <w:rPr>
                <w:rFonts w:hint="eastAsia" w:ascii="等线" w:hAnsi="等线" w:eastAsia="等线"/>
                <w:b/>
                <w:bCs/>
                <w:color w:val="auto"/>
                <w:highlight w:val="none"/>
              </w:rPr>
            </w:pPr>
            <w:r>
              <w:rPr>
                <w:rFonts w:hint="eastAsia" w:ascii="等线" w:hAnsi="等线" w:eastAsia="等线"/>
                <w:b/>
                <w:bCs/>
                <w:color w:val="auto"/>
                <w:highlight w:val="none"/>
              </w:rPr>
              <w:t>货物名称</w:t>
            </w:r>
          </w:p>
        </w:tc>
        <w:tc>
          <w:tcPr>
            <w:tcW w:w="1355" w:type="dxa"/>
            <w:noWrap w:val="0"/>
            <w:vAlign w:val="center"/>
          </w:tcPr>
          <w:p w14:paraId="3338859C">
            <w:pPr>
              <w:jc w:val="center"/>
              <w:rPr>
                <w:rFonts w:hint="eastAsia" w:ascii="等线" w:hAnsi="等线" w:eastAsia="等线"/>
                <w:b/>
                <w:bCs/>
                <w:color w:val="auto"/>
                <w:highlight w:val="none"/>
              </w:rPr>
            </w:pPr>
            <w:r>
              <w:rPr>
                <w:rFonts w:hint="eastAsia" w:ascii="等线" w:hAnsi="等线" w:eastAsia="等线"/>
                <w:b/>
                <w:bCs/>
                <w:color w:val="auto"/>
                <w:highlight w:val="none"/>
              </w:rPr>
              <w:t>数量</w:t>
            </w:r>
          </w:p>
        </w:tc>
      </w:tr>
      <w:tr w14:paraId="7560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43DA82B3">
            <w:pPr>
              <w:jc w:val="center"/>
              <w:rPr>
                <w:rFonts w:hint="eastAsia" w:ascii="等线" w:hAnsi="等线" w:eastAsia="等线"/>
                <w:color w:val="auto"/>
                <w:highlight w:val="none"/>
              </w:rPr>
            </w:pPr>
            <w:r>
              <w:rPr>
                <w:rFonts w:hint="eastAsia" w:ascii="等线" w:hAnsi="等线" w:eastAsia="等线"/>
                <w:color w:val="auto"/>
                <w:highlight w:val="none"/>
              </w:rPr>
              <w:t>1</w:t>
            </w:r>
          </w:p>
        </w:tc>
        <w:tc>
          <w:tcPr>
            <w:tcW w:w="5386" w:type="dxa"/>
            <w:noWrap w:val="0"/>
            <w:vAlign w:val="top"/>
          </w:tcPr>
          <w:p w14:paraId="65C8B5C4">
            <w:pPr>
              <w:jc w:val="center"/>
              <w:rPr>
                <w:rFonts w:hint="eastAsia" w:ascii="等线" w:hAnsi="等线" w:eastAsia="等线"/>
                <w:color w:val="auto"/>
                <w:highlight w:val="none"/>
              </w:rPr>
            </w:pPr>
            <w:r>
              <w:rPr>
                <w:rFonts w:hint="eastAsia"/>
                <w:color w:val="auto"/>
                <w:highlight w:val="none"/>
              </w:rPr>
              <w:t>PF6子绕组堆叠</w:t>
            </w:r>
          </w:p>
        </w:tc>
        <w:tc>
          <w:tcPr>
            <w:tcW w:w="1355" w:type="dxa"/>
            <w:noWrap w:val="0"/>
            <w:vAlign w:val="center"/>
          </w:tcPr>
          <w:p w14:paraId="73B8AD16">
            <w:pPr>
              <w:jc w:val="center"/>
              <w:rPr>
                <w:rFonts w:hint="eastAsia" w:ascii="等线" w:hAnsi="等线" w:eastAsia="等线"/>
                <w:color w:val="auto"/>
                <w:highlight w:val="none"/>
              </w:rPr>
            </w:pPr>
            <w:r>
              <w:rPr>
                <w:rFonts w:hint="eastAsia" w:ascii="等线" w:hAnsi="等线" w:eastAsia="等线" w:cs="Arial"/>
                <w:color w:val="auto"/>
                <w:highlight w:val="none"/>
              </w:rPr>
              <w:t>6</w:t>
            </w:r>
          </w:p>
        </w:tc>
      </w:tr>
      <w:tr w14:paraId="5F14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1A61F424">
            <w:pPr>
              <w:jc w:val="center"/>
              <w:rPr>
                <w:rFonts w:hint="eastAsia" w:ascii="等线" w:hAnsi="等线" w:eastAsia="等线"/>
                <w:color w:val="auto"/>
                <w:highlight w:val="none"/>
              </w:rPr>
            </w:pPr>
            <w:r>
              <w:rPr>
                <w:rFonts w:hint="eastAsia" w:ascii="等线" w:hAnsi="等线" w:eastAsia="等线"/>
                <w:color w:val="auto"/>
                <w:highlight w:val="none"/>
              </w:rPr>
              <w:t>2</w:t>
            </w:r>
          </w:p>
        </w:tc>
        <w:tc>
          <w:tcPr>
            <w:tcW w:w="5386" w:type="dxa"/>
            <w:noWrap w:val="0"/>
            <w:vAlign w:val="top"/>
          </w:tcPr>
          <w:p w14:paraId="1CF3CC87">
            <w:pPr>
              <w:jc w:val="center"/>
              <w:rPr>
                <w:rFonts w:hint="eastAsia" w:ascii="等线" w:hAnsi="等线" w:eastAsia="等线"/>
                <w:color w:val="auto"/>
                <w:highlight w:val="none"/>
              </w:rPr>
            </w:pPr>
            <w:r>
              <w:rPr>
                <w:rFonts w:hint="eastAsia"/>
                <w:color w:val="auto"/>
                <w:highlight w:val="none"/>
              </w:rPr>
              <w:t>PF6线圈体绝缘包绕</w:t>
            </w:r>
          </w:p>
        </w:tc>
        <w:tc>
          <w:tcPr>
            <w:tcW w:w="1355" w:type="dxa"/>
            <w:noWrap w:val="0"/>
            <w:vAlign w:val="center"/>
          </w:tcPr>
          <w:p w14:paraId="5D51B4F7">
            <w:pPr>
              <w:jc w:val="center"/>
              <w:rPr>
                <w:rFonts w:hint="eastAsia" w:ascii="等线" w:hAnsi="等线" w:eastAsia="等线"/>
                <w:color w:val="auto"/>
                <w:highlight w:val="none"/>
              </w:rPr>
            </w:pPr>
            <w:r>
              <w:rPr>
                <w:rFonts w:hint="eastAsia" w:ascii="等线" w:hAnsi="等线" w:eastAsia="等线" w:cs="Arial"/>
                <w:color w:val="auto"/>
                <w:highlight w:val="none"/>
              </w:rPr>
              <w:t>1</w:t>
            </w:r>
          </w:p>
        </w:tc>
      </w:tr>
      <w:tr w14:paraId="6588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40B3B697">
            <w:pPr>
              <w:jc w:val="center"/>
              <w:rPr>
                <w:rFonts w:hint="eastAsia" w:ascii="等线" w:hAnsi="等线" w:eastAsia="等线"/>
                <w:color w:val="auto"/>
                <w:highlight w:val="none"/>
              </w:rPr>
            </w:pPr>
            <w:r>
              <w:rPr>
                <w:rFonts w:hint="eastAsia" w:ascii="等线" w:hAnsi="等线" w:eastAsia="等线"/>
                <w:color w:val="auto"/>
                <w:highlight w:val="none"/>
              </w:rPr>
              <w:t>3</w:t>
            </w:r>
          </w:p>
        </w:tc>
        <w:tc>
          <w:tcPr>
            <w:tcW w:w="5386" w:type="dxa"/>
            <w:noWrap w:val="0"/>
            <w:vAlign w:val="top"/>
          </w:tcPr>
          <w:p w14:paraId="163A0E1A">
            <w:pPr>
              <w:jc w:val="center"/>
              <w:rPr>
                <w:rFonts w:hint="eastAsia" w:ascii="等线" w:hAnsi="等线" w:eastAsia="等线"/>
                <w:color w:val="auto"/>
                <w:highlight w:val="none"/>
              </w:rPr>
            </w:pPr>
            <w:r>
              <w:rPr>
                <w:rFonts w:hint="eastAsia"/>
                <w:color w:val="auto"/>
                <w:highlight w:val="none"/>
              </w:rPr>
              <w:t>PF6线圈VPI</w:t>
            </w:r>
          </w:p>
        </w:tc>
        <w:tc>
          <w:tcPr>
            <w:tcW w:w="1355" w:type="dxa"/>
            <w:noWrap w:val="0"/>
            <w:vAlign w:val="center"/>
          </w:tcPr>
          <w:p w14:paraId="2BFEDFF1">
            <w:pPr>
              <w:jc w:val="center"/>
              <w:rPr>
                <w:rFonts w:hint="eastAsia" w:ascii="等线" w:hAnsi="等线" w:eastAsia="等线"/>
                <w:color w:val="auto"/>
                <w:highlight w:val="none"/>
              </w:rPr>
            </w:pPr>
            <w:r>
              <w:rPr>
                <w:rFonts w:hint="eastAsia" w:ascii="等线" w:hAnsi="等线" w:eastAsia="等线"/>
                <w:color w:val="auto"/>
                <w:highlight w:val="none"/>
              </w:rPr>
              <w:t>1</w:t>
            </w:r>
          </w:p>
        </w:tc>
      </w:tr>
      <w:tr w14:paraId="2752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79C45E88">
            <w:pPr>
              <w:jc w:val="center"/>
              <w:rPr>
                <w:rFonts w:hint="eastAsia" w:ascii="等线" w:hAnsi="等线" w:eastAsia="等线"/>
                <w:color w:val="auto"/>
                <w:highlight w:val="none"/>
              </w:rPr>
            </w:pPr>
            <w:r>
              <w:rPr>
                <w:rFonts w:hint="eastAsia" w:ascii="等线" w:hAnsi="等线" w:eastAsia="等线"/>
                <w:color w:val="auto"/>
                <w:highlight w:val="none"/>
              </w:rPr>
              <w:t>4</w:t>
            </w:r>
          </w:p>
        </w:tc>
        <w:tc>
          <w:tcPr>
            <w:tcW w:w="5386" w:type="dxa"/>
            <w:noWrap w:val="0"/>
            <w:vAlign w:val="top"/>
          </w:tcPr>
          <w:p w14:paraId="01E0601C">
            <w:pPr>
              <w:jc w:val="center"/>
              <w:rPr>
                <w:rFonts w:hint="eastAsia" w:ascii="等线" w:hAnsi="等线" w:eastAsia="等线" w:cs="Arial"/>
                <w:color w:val="auto"/>
                <w:highlight w:val="none"/>
              </w:rPr>
            </w:pPr>
            <w:r>
              <w:rPr>
                <w:rFonts w:hint="eastAsia"/>
                <w:color w:val="auto"/>
                <w:highlight w:val="none"/>
              </w:rPr>
              <w:t>PF7子绕组堆叠</w:t>
            </w:r>
          </w:p>
        </w:tc>
        <w:tc>
          <w:tcPr>
            <w:tcW w:w="1355" w:type="dxa"/>
            <w:noWrap w:val="0"/>
            <w:vAlign w:val="center"/>
          </w:tcPr>
          <w:p w14:paraId="33A8E081">
            <w:pPr>
              <w:jc w:val="center"/>
              <w:rPr>
                <w:rFonts w:hint="eastAsia" w:ascii="等线" w:hAnsi="等线" w:eastAsia="等线"/>
                <w:color w:val="auto"/>
                <w:highlight w:val="none"/>
              </w:rPr>
            </w:pPr>
            <w:r>
              <w:rPr>
                <w:rFonts w:hint="eastAsia" w:ascii="等线" w:hAnsi="等线" w:eastAsia="等线"/>
                <w:color w:val="auto"/>
                <w:highlight w:val="none"/>
              </w:rPr>
              <w:t>4</w:t>
            </w:r>
          </w:p>
        </w:tc>
      </w:tr>
      <w:tr w14:paraId="47FB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0F418926">
            <w:pPr>
              <w:jc w:val="center"/>
              <w:rPr>
                <w:rFonts w:hint="eastAsia" w:ascii="等线" w:hAnsi="等线" w:eastAsia="等线"/>
                <w:color w:val="auto"/>
                <w:highlight w:val="none"/>
              </w:rPr>
            </w:pPr>
            <w:r>
              <w:rPr>
                <w:rFonts w:hint="eastAsia" w:ascii="等线" w:hAnsi="等线" w:eastAsia="等线"/>
                <w:color w:val="auto"/>
                <w:highlight w:val="none"/>
              </w:rPr>
              <w:t>5</w:t>
            </w:r>
          </w:p>
        </w:tc>
        <w:tc>
          <w:tcPr>
            <w:tcW w:w="5386" w:type="dxa"/>
            <w:noWrap w:val="0"/>
            <w:vAlign w:val="top"/>
          </w:tcPr>
          <w:p w14:paraId="3A0E885D">
            <w:pPr>
              <w:jc w:val="center"/>
              <w:rPr>
                <w:rFonts w:hint="eastAsia" w:ascii="等线" w:hAnsi="等线" w:eastAsia="等线" w:cs="Arial"/>
                <w:color w:val="auto"/>
                <w:highlight w:val="none"/>
              </w:rPr>
            </w:pPr>
            <w:r>
              <w:rPr>
                <w:rFonts w:hint="eastAsia"/>
                <w:color w:val="auto"/>
                <w:highlight w:val="none"/>
              </w:rPr>
              <w:t>PF7线圈体绝缘包绕</w:t>
            </w:r>
          </w:p>
        </w:tc>
        <w:tc>
          <w:tcPr>
            <w:tcW w:w="1355" w:type="dxa"/>
            <w:noWrap w:val="0"/>
            <w:vAlign w:val="center"/>
          </w:tcPr>
          <w:p w14:paraId="5BA19C74">
            <w:pPr>
              <w:jc w:val="center"/>
              <w:rPr>
                <w:rFonts w:hint="eastAsia" w:ascii="等线" w:hAnsi="等线" w:eastAsia="等线"/>
                <w:color w:val="auto"/>
                <w:highlight w:val="none"/>
              </w:rPr>
            </w:pPr>
            <w:r>
              <w:rPr>
                <w:rFonts w:hint="eastAsia" w:ascii="等线" w:hAnsi="等线" w:eastAsia="等线"/>
                <w:color w:val="auto"/>
                <w:highlight w:val="none"/>
              </w:rPr>
              <w:t>1</w:t>
            </w:r>
          </w:p>
        </w:tc>
      </w:tr>
      <w:tr w14:paraId="6BA5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noWrap w:val="0"/>
            <w:vAlign w:val="center"/>
          </w:tcPr>
          <w:p w14:paraId="7F1B3DFD">
            <w:pPr>
              <w:jc w:val="center"/>
              <w:rPr>
                <w:rFonts w:hint="eastAsia" w:ascii="等线" w:hAnsi="等线" w:eastAsia="等线"/>
                <w:color w:val="auto"/>
                <w:highlight w:val="none"/>
              </w:rPr>
            </w:pPr>
            <w:r>
              <w:rPr>
                <w:rFonts w:hint="eastAsia" w:ascii="等线" w:hAnsi="等线" w:eastAsia="等线"/>
                <w:color w:val="auto"/>
                <w:highlight w:val="none"/>
              </w:rPr>
              <w:t>6</w:t>
            </w:r>
          </w:p>
        </w:tc>
        <w:tc>
          <w:tcPr>
            <w:tcW w:w="5386" w:type="dxa"/>
            <w:noWrap w:val="0"/>
            <w:vAlign w:val="top"/>
          </w:tcPr>
          <w:p w14:paraId="0C190238">
            <w:pPr>
              <w:jc w:val="center"/>
              <w:rPr>
                <w:rFonts w:hint="eastAsia" w:ascii="等线" w:hAnsi="等线" w:eastAsia="等线" w:cs="Arial"/>
                <w:color w:val="auto"/>
                <w:highlight w:val="none"/>
              </w:rPr>
            </w:pPr>
            <w:r>
              <w:rPr>
                <w:rFonts w:hint="eastAsia"/>
                <w:color w:val="auto"/>
                <w:highlight w:val="none"/>
              </w:rPr>
              <w:t>PF7线圈VPI</w:t>
            </w:r>
          </w:p>
        </w:tc>
        <w:tc>
          <w:tcPr>
            <w:tcW w:w="1355" w:type="dxa"/>
            <w:noWrap w:val="0"/>
            <w:vAlign w:val="center"/>
          </w:tcPr>
          <w:p w14:paraId="03068BDB">
            <w:pPr>
              <w:jc w:val="center"/>
              <w:rPr>
                <w:rFonts w:hint="eastAsia" w:ascii="等线" w:hAnsi="等线" w:eastAsia="等线"/>
                <w:color w:val="auto"/>
                <w:highlight w:val="none"/>
              </w:rPr>
            </w:pPr>
            <w:r>
              <w:rPr>
                <w:rFonts w:hint="eastAsia" w:ascii="等线" w:hAnsi="等线" w:eastAsia="等线"/>
                <w:color w:val="auto"/>
                <w:highlight w:val="none"/>
              </w:rPr>
              <w:t>1</w:t>
            </w:r>
          </w:p>
        </w:tc>
      </w:tr>
    </w:tbl>
    <w:p w14:paraId="265B97DE">
      <w:pPr>
        <w:adjustRightInd w:val="0"/>
        <w:snapToGrid w:val="0"/>
        <w:spacing w:before="120" w:beforeLines="50" w:line="360" w:lineRule="auto"/>
        <w:rPr>
          <w:rFonts w:ascii="宋体" w:hAnsi="宋体"/>
          <w:b/>
          <w:color w:val="auto"/>
          <w:sz w:val="24"/>
          <w:highlight w:val="none"/>
        </w:rPr>
      </w:pPr>
      <w:r>
        <w:rPr>
          <w:rFonts w:hint="eastAsia" w:ascii="宋体" w:hAnsi="宋体"/>
          <w:b/>
          <w:color w:val="auto"/>
          <w:sz w:val="24"/>
          <w:highlight w:val="none"/>
        </w:rPr>
        <w:t>2</w:t>
      </w:r>
      <w:bookmarkStart w:id="1" w:name="OLE_LINK3"/>
      <w:r>
        <w:rPr>
          <w:rFonts w:hint="eastAsia" w:ascii="宋体" w:hAnsi="宋体"/>
          <w:b/>
          <w:color w:val="auto"/>
          <w:sz w:val="24"/>
          <w:highlight w:val="none"/>
        </w:rPr>
        <w:t xml:space="preserve"> 堆叠及体绝缘包绕制造</w:t>
      </w:r>
      <w:bookmarkEnd w:id="1"/>
      <w:r>
        <w:rPr>
          <w:rFonts w:hint="eastAsia" w:ascii="宋体" w:hAnsi="宋体"/>
          <w:b/>
          <w:color w:val="auto"/>
          <w:sz w:val="24"/>
          <w:highlight w:val="none"/>
        </w:rPr>
        <w:t>技术要求</w:t>
      </w:r>
    </w:p>
    <w:p w14:paraId="000FF665">
      <w:pPr>
        <w:adjustRightInd w:val="0"/>
        <w:snapToGrid w:val="0"/>
        <w:spacing w:before="120" w:beforeLines="50" w:line="360" w:lineRule="auto"/>
        <w:ind w:firstLine="480" w:firstLineChars="200"/>
        <w:rPr>
          <w:rFonts w:ascii="宋体" w:hAnsi="宋体"/>
          <w:color w:val="auto"/>
          <w:sz w:val="24"/>
          <w:highlight w:val="none"/>
        </w:rPr>
      </w:pPr>
      <w:r>
        <w:rPr>
          <w:rFonts w:hint="eastAsia" w:ascii="宋体" w:hAnsi="宋体"/>
          <w:color w:val="auto"/>
          <w:sz w:val="24"/>
          <w:highlight w:val="none"/>
        </w:rPr>
        <w:t>极向场磁体作为紧凑型聚变能实验装置的重要组成部件，极向场磁体线圈由绕组、接头、对地绝缘、终端箱等组成，每个绕组由多个子单元堆叠而成，堆叠后进行体绝缘包绕。</w:t>
      </w:r>
    </w:p>
    <w:p w14:paraId="78DA7EBD">
      <w:pPr>
        <w:adjustRightInd w:val="0"/>
        <w:snapToGrid w:val="0"/>
        <w:spacing w:before="120" w:beforeLines="50" w:line="360" w:lineRule="auto"/>
        <w:jc w:val="left"/>
        <w:rPr>
          <w:rFonts w:ascii="宋体" w:hAnsi="宋体"/>
          <w:b/>
          <w:bCs/>
          <w:color w:val="auto"/>
          <w:sz w:val="24"/>
          <w:highlight w:val="none"/>
        </w:rPr>
      </w:pPr>
      <w:r>
        <w:rPr>
          <w:rFonts w:hint="eastAsia" w:ascii="宋体" w:hAnsi="宋体"/>
          <w:b/>
          <w:bCs/>
          <w:color w:val="auto"/>
          <w:sz w:val="24"/>
          <w:highlight w:val="none"/>
        </w:rPr>
        <w:t>2.1 堆叠及体绝缘包绕制造工艺流程</w:t>
      </w:r>
    </w:p>
    <w:p w14:paraId="66FA517D">
      <w:pPr>
        <w:adjustRightInd w:val="0"/>
        <w:snapToGrid w:val="0"/>
        <w:spacing w:before="120" w:beforeLines="50" w:line="360" w:lineRule="auto"/>
        <w:ind w:firstLine="480" w:firstLineChars="200"/>
        <w:rPr>
          <w:rFonts w:ascii="宋体" w:hAnsi="宋体"/>
          <w:color w:val="auto"/>
          <w:sz w:val="24"/>
          <w:highlight w:val="none"/>
        </w:rPr>
      </w:pPr>
      <w:r>
        <w:rPr>
          <w:rFonts w:hint="eastAsia" w:ascii="宋体" w:hAnsi="宋体"/>
          <w:color w:val="auto"/>
          <w:sz w:val="24"/>
          <w:highlight w:val="none"/>
        </w:rPr>
        <w:t>乙方需在甲方提供的设备平台上进行子单元线圈堆叠、接头制造（不包含在本项目中）、对地绝缘包绕等工作，具体流程如图1所示。</w:t>
      </w:r>
    </w:p>
    <w:bookmarkEnd w:id="0"/>
    <w:p w14:paraId="48D2B6BD">
      <w:pPr>
        <w:widowControl/>
        <w:jc w:val="center"/>
        <w:rPr>
          <w:rFonts w:ascii="宋体" w:hAnsi="宋体"/>
          <w:color w:val="auto"/>
          <w:sz w:val="24"/>
          <w:highlight w:val="none"/>
        </w:rPr>
      </w:pPr>
      <w:r>
        <w:rPr>
          <w:rFonts w:ascii="宋体" w:hAnsi="宋体"/>
          <w:color w:val="auto"/>
          <w:sz w:val="24"/>
          <w:highlight w:val="none"/>
        </w:rPr>
        <w:drawing>
          <wp:inline distT="0" distB="0" distL="114300" distR="114300">
            <wp:extent cx="5110480" cy="2305050"/>
            <wp:effectExtent l="0" t="0" r="1016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110480" cy="2305050"/>
                    </a:xfrm>
                    <a:prstGeom prst="rect">
                      <a:avLst/>
                    </a:prstGeom>
                    <a:noFill/>
                    <a:ln>
                      <a:noFill/>
                    </a:ln>
                  </pic:spPr>
                </pic:pic>
              </a:graphicData>
            </a:graphic>
          </wp:inline>
        </w:drawing>
      </w:r>
    </w:p>
    <w:p w14:paraId="2BD39856">
      <w:pPr>
        <w:widowControl/>
        <w:jc w:val="center"/>
        <w:rPr>
          <w:rFonts w:ascii="宋体" w:hAnsi="宋体"/>
          <w:color w:val="auto"/>
          <w:sz w:val="24"/>
          <w:highlight w:val="none"/>
        </w:rPr>
      </w:pPr>
      <w:r>
        <w:rPr>
          <w:rFonts w:hint="eastAsia" w:ascii="宋体" w:hAnsi="宋体"/>
          <w:color w:val="auto"/>
          <w:sz w:val="24"/>
          <w:highlight w:val="none"/>
        </w:rPr>
        <w:t>图1 PF线圈堆叠及体绝缘包绕工艺流程图</w:t>
      </w:r>
    </w:p>
    <w:p w14:paraId="6ED623BE">
      <w:pPr>
        <w:widowControl/>
        <w:rPr>
          <w:rFonts w:ascii="宋体" w:hAnsi="宋体"/>
          <w:color w:val="auto"/>
          <w:sz w:val="24"/>
          <w:highlight w:val="none"/>
        </w:rPr>
      </w:pPr>
    </w:p>
    <w:p w14:paraId="0CC538B1">
      <w:pPr>
        <w:pStyle w:val="5"/>
        <w:ind w:right="40" w:rightChars="19" w:firstLine="480"/>
        <w:rPr>
          <w:rFonts w:ascii="宋体" w:hAnsi="宋体"/>
          <w:color w:val="auto"/>
          <w:sz w:val="24"/>
          <w:highlight w:val="none"/>
        </w:rPr>
      </w:pPr>
      <w:r>
        <w:rPr>
          <w:rFonts w:hint="eastAsia" w:ascii="宋体" w:hAnsi="宋体"/>
          <w:color w:val="auto"/>
          <w:sz w:val="24"/>
          <w:highlight w:val="none"/>
        </w:rPr>
        <w:t>具体工艺流程步骤及要求为：</w:t>
      </w:r>
    </w:p>
    <w:p w14:paraId="0CBC166F">
      <w:pPr>
        <w:pStyle w:val="5"/>
        <w:widowControl/>
        <w:numPr>
          <w:ilvl w:val="0"/>
          <w:numId w:val="1"/>
        </w:numPr>
        <w:spacing w:line="440" w:lineRule="exact"/>
        <w:ind w:right="40" w:rightChars="19" w:firstLine="480"/>
        <w:rPr>
          <w:rFonts w:ascii="宋体" w:hAnsi="宋体"/>
          <w:color w:val="auto"/>
          <w:sz w:val="24"/>
          <w:highlight w:val="none"/>
        </w:rPr>
      </w:pPr>
      <w:r>
        <w:rPr>
          <w:rFonts w:hint="eastAsia" w:ascii="宋体" w:hAnsi="宋体"/>
          <w:color w:val="auto"/>
          <w:sz w:val="24"/>
          <w:highlight w:val="none"/>
        </w:rPr>
        <w:t>人工将线圈第一个子单元线圈按位置及尺寸要求转运放置于堆叠支撑平台上，对齐线圈与平台的十字标记线，使用堆叠平台保形工装对第一个子单元线圈进行保形和压紧，子单元线圈上表面使用玻璃纤维进行填充。</w:t>
      </w:r>
    </w:p>
    <w:p w14:paraId="256B4553">
      <w:pPr>
        <w:pStyle w:val="5"/>
        <w:widowControl/>
        <w:numPr>
          <w:ilvl w:val="0"/>
          <w:numId w:val="1"/>
        </w:numPr>
        <w:spacing w:line="440" w:lineRule="exact"/>
        <w:ind w:right="40" w:rightChars="19" w:firstLine="480"/>
        <w:rPr>
          <w:rFonts w:ascii="宋体" w:hAnsi="宋体"/>
          <w:color w:val="auto"/>
          <w:sz w:val="24"/>
          <w:highlight w:val="none"/>
        </w:rPr>
      </w:pPr>
      <w:r>
        <w:rPr>
          <w:rFonts w:hint="eastAsia" w:ascii="宋体" w:hAnsi="宋体"/>
          <w:color w:val="auto"/>
          <w:sz w:val="24"/>
          <w:highlight w:val="none"/>
        </w:rPr>
        <w:t>人工将线圈第二个子单元线圈转运放置于堆叠支撑平台上方，将保型夹具更换为子单元专用夹具，对齐第一个和第二个子单元的十字标记线，对线圈按位置及尺寸要求进行堆叠；子单元堆叠间距示意如图2所示；</w:t>
      </w:r>
    </w:p>
    <w:p w14:paraId="31B60180">
      <w:pPr>
        <w:pStyle w:val="5"/>
        <w:ind w:right="40" w:rightChars="19" w:firstLine="0" w:firstLineChars="0"/>
        <w:jc w:val="center"/>
        <w:rPr>
          <w:rFonts w:ascii="宋体" w:hAnsi="宋体"/>
          <w:color w:val="auto"/>
          <w:sz w:val="24"/>
          <w:highlight w:val="none"/>
        </w:rPr>
      </w:pPr>
      <w:r>
        <w:rPr>
          <w:rFonts w:ascii="宋体" w:hAnsi="宋体"/>
          <w:color w:val="auto"/>
          <w:sz w:val="24"/>
          <w:highlight w:val="none"/>
        </w:rPr>
        <w:drawing>
          <wp:inline distT="0" distB="0" distL="114300" distR="114300">
            <wp:extent cx="4585970" cy="2084070"/>
            <wp:effectExtent l="0" t="0" r="127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585970" cy="2084070"/>
                    </a:xfrm>
                    <a:prstGeom prst="rect">
                      <a:avLst/>
                    </a:prstGeom>
                    <a:noFill/>
                    <a:ln>
                      <a:noFill/>
                    </a:ln>
                  </pic:spPr>
                </pic:pic>
              </a:graphicData>
            </a:graphic>
          </wp:inline>
        </w:drawing>
      </w:r>
    </w:p>
    <w:p w14:paraId="7405A3C4">
      <w:pPr>
        <w:pStyle w:val="5"/>
        <w:ind w:right="40" w:rightChars="19" w:firstLine="0" w:firstLineChars="0"/>
        <w:jc w:val="center"/>
        <w:rPr>
          <w:rFonts w:ascii="宋体" w:hAnsi="宋体"/>
          <w:color w:val="auto"/>
          <w:sz w:val="24"/>
          <w:highlight w:val="none"/>
        </w:rPr>
      </w:pPr>
      <w:r>
        <w:rPr>
          <w:rFonts w:hint="eastAsia" w:ascii="宋体" w:hAnsi="宋体"/>
          <w:color w:val="auto"/>
          <w:sz w:val="24"/>
          <w:highlight w:val="none"/>
        </w:rPr>
        <w:t>图2 子单元堆叠间距示意图</w:t>
      </w:r>
    </w:p>
    <w:p w14:paraId="6C53D199">
      <w:pPr>
        <w:pStyle w:val="5"/>
        <w:ind w:right="40" w:rightChars="19" w:firstLine="0" w:firstLineChars="0"/>
        <w:rPr>
          <w:rFonts w:ascii="宋体" w:hAnsi="宋体"/>
          <w:color w:val="auto"/>
          <w:sz w:val="24"/>
          <w:highlight w:val="none"/>
        </w:rPr>
      </w:pPr>
      <w:r>
        <w:rPr>
          <w:rFonts w:hint="eastAsia" w:ascii="宋体" w:hAnsi="宋体"/>
          <w:color w:val="auto"/>
          <w:sz w:val="24"/>
          <w:highlight w:val="none"/>
        </w:rPr>
        <w:t xml:space="preserve">   子单元堆叠过程示意如图3所示；</w:t>
      </w:r>
    </w:p>
    <w:p w14:paraId="2A09D076">
      <w:pPr>
        <w:pStyle w:val="5"/>
        <w:ind w:right="40" w:rightChars="19" w:firstLine="0" w:firstLineChars="0"/>
        <w:jc w:val="center"/>
        <w:rPr>
          <w:rFonts w:ascii="宋体" w:hAnsi="宋体"/>
          <w:color w:val="auto"/>
          <w:sz w:val="24"/>
          <w:highlight w:val="none"/>
        </w:rPr>
      </w:pPr>
      <w:r>
        <w:rPr>
          <w:rFonts w:ascii="宋体" w:hAnsi="宋体"/>
          <w:color w:val="auto"/>
          <w:sz w:val="24"/>
          <w:highlight w:val="none"/>
        </w:rPr>
        <w:drawing>
          <wp:inline distT="0" distB="0" distL="114300" distR="114300">
            <wp:extent cx="5604510" cy="2290445"/>
            <wp:effectExtent l="0" t="0" r="381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604510" cy="2290445"/>
                    </a:xfrm>
                    <a:prstGeom prst="rect">
                      <a:avLst/>
                    </a:prstGeom>
                    <a:noFill/>
                    <a:ln>
                      <a:noFill/>
                    </a:ln>
                  </pic:spPr>
                </pic:pic>
              </a:graphicData>
            </a:graphic>
          </wp:inline>
        </w:drawing>
      </w:r>
    </w:p>
    <w:p w14:paraId="1F2649B0">
      <w:pPr>
        <w:pStyle w:val="5"/>
        <w:ind w:right="40" w:rightChars="19" w:firstLine="0" w:firstLineChars="0"/>
        <w:jc w:val="center"/>
        <w:rPr>
          <w:rFonts w:ascii="宋体" w:hAnsi="宋体"/>
          <w:color w:val="auto"/>
          <w:sz w:val="24"/>
          <w:highlight w:val="none"/>
        </w:rPr>
      </w:pPr>
      <w:r>
        <w:rPr>
          <w:rFonts w:hint="eastAsia" w:ascii="宋体" w:hAnsi="宋体"/>
          <w:color w:val="auto"/>
          <w:sz w:val="24"/>
          <w:highlight w:val="none"/>
        </w:rPr>
        <w:t>图3 子单元堆叠示意图</w:t>
      </w:r>
    </w:p>
    <w:p w14:paraId="4304A095">
      <w:pPr>
        <w:pStyle w:val="5"/>
        <w:widowControl/>
        <w:numPr>
          <w:ilvl w:val="0"/>
          <w:numId w:val="1"/>
        </w:numPr>
        <w:spacing w:line="440" w:lineRule="exact"/>
        <w:ind w:right="40" w:rightChars="19" w:firstLine="480"/>
        <w:rPr>
          <w:rFonts w:ascii="宋体" w:hAnsi="宋体"/>
          <w:color w:val="auto"/>
          <w:sz w:val="24"/>
          <w:highlight w:val="none"/>
        </w:rPr>
      </w:pPr>
      <w:r>
        <w:rPr>
          <w:rFonts w:hint="eastAsia" w:ascii="宋体" w:hAnsi="宋体"/>
          <w:color w:val="auto"/>
          <w:sz w:val="24"/>
          <w:highlight w:val="none"/>
        </w:rPr>
        <w:t>当两个子单元堆叠完成后，进行接头制作，</w:t>
      </w:r>
      <w:bookmarkStart w:id="2" w:name="_Hlk128686616"/>
      <w:r>
        <w:rPr>
          <w:rFonts w:ascii="宋体" w:hAnsi="宋体"/>
          <w:bCs/>
          <w:color w:val="auto"/>
          <w:sz w:val="24"/>
          <w:highlight w:val="none"/>
        </w:rPr>
        <w:t>两个外部端子</w:t>
      </w:r>
      <w:r>
        <w:rPr>
          <w:rFonts w:hint="eastAsia" w:ascii="宋体" w:hAnsi="宋体"/>
          <w:bCs/>
          <w:color w:val="auto"/>
          <w:sz w:val="24"/>
          <w:highlight w:val="none"/>
        </w:rPr>
        <w:t>通过</w:t>
      </w:r>
      <w:r>
        <w:rPr>
          <w:rFonts w:ascii="宋体" w:hAnsi="宋体"/>
          <w:bCs/>
          <w:color w:val="auto"/>
          <w:sz w:val="24"/>
          <w:highlight w:val="none"/>
        </w:rPr>
        <w:t>搭接形成一个外部接头，位于</w:t>
      </w:r>
      <w:r>
        <w:rPr>
          <w:rFonts w:hint="eastAsia" w:ascii="宋体" w:hAnsi="宋体"/>
          <w:bCs/>
          <w:color w:val="auto"/>
          <w:sz w:val="24"/>
          <w:highlight w:val="none"/>
        </w:rPr>
        <w:t>磁体线圈外侧（共两个位置，具体位置参见模型图纸）</w:t>
      </w:r>
      <w:r>
        <w:rPr>
          <w:rFonts w:ascii="宋体" w:hAnsi="宋体"/>
          <w:bCs/>
          <w:color w:val="auto"/>
          <w:sz w:val="24"/>
          <w:highlight w:val="none"/>
        </w:rPr>
        <w:t>。</w:t>
      </w:r>
      <w:r>
        <w:rPr>
          <w:rFonts w:ascii="宋体" w:hAnsi="宋体"/>
          <w:color w:val="auto"/>
          <w:sz w:val="24"/>
          <w:highlight w:val="none"/>
        </w:rPr>
        <w:t>制造</w:t>
      </w:r>
      <w:r>
        <w:rPr>
          <w:rFonts w:hint="eastAsia" w:ascii="宋体" w:hAnsi="宋体"/>
          <w:color w:val="auto"/>
          <w:sz w:val="24"/>
          <w:highlight w:val="none"/>
        </w:rPr>
        <w:t>工序</w:t>
      </w:r>
      <w:r>
        <w:rPr>
          <w:rFonts w:ascii="宋体" w:hAnsi="宋体"/>
          <w:color w:val="auto"/>
          <w:sz w:val="24"/>
          <w:highlight w:val="none"/>
        </w:rPr>
        <w:t>为子</w:t>
      </w:r>
      <w:r>
        <w:rPr>
          <w:rFonts w:hint="eastAsia" w:ascii="宋体" w:hAnsi="宋体"/>
          <w:color w:val="auto"/>
          <w:sz w:val="24"/>
          <w:highlight w:val="none"/>
        </w:rPr>
        <w:t>单元线圈堆叠</w:t>
      </w:r>
      <w:r>
        <w:rPr>
          <w:rFonts w:ascii="宋体" w:hAnsi="宋体"/>
          <w:color w:val="auto"/>
          <w:sz w:val="24"/>
          <w:highlight w:val="none"/>
        </w:rPr>
        <w:t>之后，线圈VPI之前。外部接头主要是将两外部端子</w:t>
      </w:r>
      <w:r>
        <w:rPr>
          <w:rFonts w:hint="eastAsia" w:ascii="宋体" w:hAnsi="宋体"/>
          <w:color w:val="auto"/>
          <w:sz w:val="24"/>
          <w:highlight w:val="none"/>
        </w:rPr>
        <w:t>通过</w:t>
      </w:r>
      <w:r>
        <w:rPr>
          <w:rFonts w:ascii="宋体" w:hAnsi="宋体"/>
          <w:color w:val="auto"/>
          <w:sz w:val="24"/>
          <w:highlight w:val="none"/>
        </w:rPr>
        <w:t>锡焊</w:t>
      </w:r>
      <w:r>
        <w:rPr>
          <w:rFonts w:hint="eastAsia" w:ascii="宋体" w:hAnsi="宋体"/>
          <w:color w:val="auto"/>
          <w:sz w:val="24"/>
          <w:highlight w:val="none"/>
        </w:rPr>
        <w:t>进行</w:t>
      </w:r>
      <w:r>
        <w:rPr>
          <w:rFonts w:ascii="宋体" w:hAnsi="宋体"/>
          <w:color w:val="auto"/>
          <w:sz w:val="24"/>
          <w:highlight w:val="none"/>
        </w:rPr>
        <w:t>搭接，</w:t>
      </w:r>
      <w:r>
        <w:rPr>
          <w:rFonts w:hint="eastAsia" w:ascii="宋体" w:hAnsi="宋体"/>
          <w:color w:val="auto"/>
          <w:sz w:val="24"/>
          <w:highlight w:val="none"/>
        </w:rPr>
        <w:t>再</w:t>
      </w:r>
      <w:r>
        <w:rPr>
          <w:rFonts w:ascii="宋体" w:hAnsi="宋体"/>
          <w:color w:val="auto"/>
          <w:sz w:val="24"/>
          <w:highlight w:val="none"/>
        </w:rPr>
        <w:t>将不锈钢侧板（材质316LN）焊接到端子盒上起到固定及保护锡焊结合面的作用，</w:t>
      </w:r>
      <w:r>
        <w:rPr>
          <w:rFonts w:hint="eastAsia" w:ascii="宋体" w:hAnsi="宋体"/>
          <w:color w:val="auto"/>
          <w:sz w:val="24"/>
          <w:highlight w:val="none"/>
        </w:rPr>
        <w:t>最后焊接接头端子之间的氦管，焊接后需要进行无损检测，检测空间为1m×1m×1m；</w:t>
      </w:r>
      <w:r>
        <w:rPr>
          <w:rFonts w:ascii="宋体" w:hAnsi="宋体"/>
          <w:color w:val="auto"/>
          <w:sz w:val="24"/>
          <w:highlight w:val="none"/>
        </w:rPr>
        <w:t>其主要制造流程如图</w:t>
      </w:r>
      <w:r>
        <w:rPr>
          <w:rFonts w:hint="eastAsia" w:ascii="宋体" w:hAnsi="宋体"/>
          <w:color w:val="auto"/>
          <w:sz w:val="24"/>
          <w:highlight w:val="none"/>
        </w:rPr>
        <w:t>4</w:t>
      </w:r>
      <w:r>
        <w:rPr>
          <w:rFonts w:ascii="宋体" w:hAnsi="宋体"/>
          <w:color w:val="auto"/>
          <w:sz w:val="24"/>
          <w:highlight w:val="none"/>
        </w:rPr>
        <w:t>所示。</w:t>
      </w:r>
      <w:r>
        <w:rPr>
          <w:rFonts w:hint="eastAsia" w:ascii="宋体" w:hAnsi="宋体"/>
          <w:color w:val="auto"/>
          <w:sz w:val="24"/>
          <w:highlight w:val="none"/>
        </w:rPr>
        <w:t>(本节所描述工作不包含在本项目中，属于中间流程)</w:t>
      </w:r>
    </w:p>
    <w:bookmarkEnd w:id="2"/>
    <w:p w14:paraId="6DF8393A">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5275580" cy="1806575"/>
            <wp:effectExtent l="0" t="0" r="1270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5580" cy="1806575"/>
                    </a:xfrm>
                    <a:prstGeom prst="rect">
                      <a:avLst/>
                    </a:prstGeom>
                    <a:noFill/>
                    <a:ln>
                      <a:noFill/>
                    </a:ln>
                  </pic:spPr>
                </pic:pic>
              </a:graphicData>
            </a:graphic>
          </wp:inline>
        </w:drawing>
      </w:r>
    </w:p>
    <w:p w14:paraId="5C927872">
      <w:pPr>
        <w:spacing w:line="360" w:lineRule="auto"/>
        <w:jc w:val="center"/>
        <w:rPr>
          <w:rFonts w:ascii="宋体" w:hAnsi="宋体"/>
          <w:color w:val="auto"/>
          <w:sz w:val="24"/>
          <w:highlight w:val="none"/>
        </w:rPr>
      </w:pPr>
      <w:r>
        <w:rPr>
          <w:rFonts w:hint="eastAsia" w:ascii="宋体" w:hAnsi="宋体"/>
          <w:color w:val="auto"/>
          <w:sz w:val="24"/>
          <w:highlight w:val="none"/>
        </w:rPr>
        <w:t>图4</w:t>
      </w:r>
      <w:r>
        <w:rPr>
          <w:rFonts w:ascii="宋体" w:hAnsi="宋体"/>
          <w:color w:val="auto"/>
          <w:sz w:val="24"/>
          <w:highlight w:val="none"/>
        </w:rPr>
        <w:t>外部接头制造流程</w:t>
      </w:r>
    </w:p>
    <w:p w14:paraId="4EC5B697">
      <w:pPr>
        <w:widowControl/>
        <w:numPr>
          <w:ilvl w:val="0"/>
          <w:numId w:val="1"/>
        </w:num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待子单元之间接头完成后，对接头两端导体S弯处进行高压线的焊接及转出，具体如图5所示：</w:t>
      </w:r>
    </w:p>
    <w:p w14:paraId="2D499E34">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3663315" cy="2101850"/>
            <wp:effectExtent l="0" t="0" r="952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663315" cy="2101850"/>
                    </a:xfrm>
                    <a:prstGeom prst="rect">
                      <a:avLst/>
                    </a:prstGeom>
                    <a:noFill/>
                    <a:ln>
                      <a:noFill/>
                    </a:ln>
                  </pic:spPr>
                </pic:pic>
              </a:graphicData>
            </a:graphic>
          </wp:inline>
        </w:drawing>
      </w:r>
    </w:p>
    <w:p w14:paraId="3817454C">
      <w:pPr>
        <w:spacing w:line="360" w:lineRule="auto"/>
        <w:jc w:val="center"/>
        <w:rPr>
          <w:rFonts w:ascii="宋体" w:hAnsi="宋体"/>
          <w:color w:val="auto"/>
          <w:sz w:val="24"/>
          <w:highlight w:val="none"/>
        </w:rPr>
      </w:pPr>
      <w:r>
        <w:rPr>
          <w:rFonts w:hint="eastAsia" w:ascii="宋体" w:hAnsi="宋体"/>
          <w:color w:val="auto"/>
          <w:sz w:val="24"/>
          <w:highlight w:val="none"/>
        </w:rPr>
        <w:t>图5 高压线转接</w:t>
      </w:r>
    </w:p>
    <w:p w14:paraId="40DCD2CA">
      <w:pPr>
        <w:widowControl/>
        <w:numPr>
          <w:ilvl w:val="0"/>
          <w:numId w:val="1"/>
        </w:num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重复上述1）、2）、3）、4）步骤，直至子单元堆叠完成后人工对线圈进行体绝缘包绕，操作方式为不少于2组操作人员通过缠绕方式对线圈进行包绕；因线圈结构特性，在包绕的过程中需要拆装线圈保形工装，同时支撑平台需要逐个升降，以完成体绝缘包绕工作。人工操作位置示意如图6所示：</w:t>
      </w:r>
    </w:p>
    <w:p w14:paraId="36E48BF5">
      <w:pPr>
        <w:spacing w:line="360" w:lineRule="auto"/>
        <w:ind w:left="420" w:leftChars="200"/>
        <w:jc w:val="center"/>
        <w:rPr>
          <w:rFonts w:ascii="宋体" w:hAnsi="宋体"/>
          <w:color w:val="auto"/>
          <w:sz w:val="24"/>
          <w:highlight w:val="none"/>
        </w:rPr>
      </w:pPr>
      <w:r>
        <w:rPr>
          <w:rFonts w:ascii="宋体" w:hAnsi="宋体"/>
          <w:color w:val="auto"/>
          <w:sz w:val="24"/>
          <w:highlight w:val="none"/>
        </w:rPr>
        <w:drawing>
          <wp:inline distT="0" distB="0" distL="114300" distR="114300">
            <wp:extent cx="5314950" cy="3046095"/>
            <wp:effectExtent l="0" t="0" r="381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314950" cy="3046095"/>
                    </a:xfrm>
                    <a:prstGeom prst="rect">
                      <a:avLst/>
                    </a:prstGeom>
                    <a:noFill/>
                    <a:ln>
                      <a:noFill/>
                    </a:ln>
                  </pic:spPr>
                </pic:pic>
              </a:graphicData>
            </a:graphic>
          </wp:inline>
        </w:drawing>
      </w:r>
    </w:p>
    <w:p w14:paraId="09D7B633">
      <w:pPr>
        <w:spacing w:line="360" w:lineRule="auto"/>
        <w:ind w:left="420" w:leftChars="200"/>
        <w:jc w:val="center"/>
        <w:rPr>
          <w:rFonts w:ascii="宋体" w:hAnsi="宋体"/>
          <w:color w:val="auto"/>
          <w:sz w:val="24"/>
          <w:highlight w:val="none"/>
        </w:rPr>
      </w:pPr>
      <w:r>
        <w:rPr>
          <w:rFonts w:ascii="宋体" w:hAnsi="宋体"/>
          <w:color w:val="auto"/>
          <w:sz w:val="24"/>
          <w:highlight w:val="none"/>
        </w:rPr>
        <w:t>图</w:t>
      </w:r>
      <w:r>
        <w:rPr>
          <w:rFonts w:hint="eastAsia" w:ascii="宋体" w:hAnsi="宋体"/>
          <w:color w:val="auto"/>
          <w:sz w:val="24"/>
          <w:highlight w:val="none"/>
        </w:rPr>
        <w:t>6 人工操作位置示意图</w:t>
      </w:r>
    </w:p>
    <w:p w14:paraId="37167379">
      <w:pPr>
        <w:widowControl/>
        <w:numPr>
          <w:ilvl w:val="0"/>
          <w:numId w:val="1"/>
        </w:num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在体绝缘包绕过程中，氦进出管处需进行特殊处理，首先安装G10/G11填充块使氦进出口与线圈呈平滑过渡状态，然后使用玻璃丝带填实G10/G11与线圈之间的空隙，最后进行此处体绝缘包绕，具体图示如下所示：</w:t>
      </w:r>
    </w:p>
    <w:p w14:paraId="55C7BC9F">
      <w:pPr>
        <w:spacing w:line="360" w:lineRule="auto"/>
        <w:jc w:val="center"/>
        <w:rPr>
          <w:rFonts w:ascii="宋体" w:hAnsi="宋体"/>
          <w:color w:val="auto"/>
          <w:sz w:val="24"/>
          <w:highlight w:val="none"/>
        </w:rPr>
      </w:pPr>
      <w:r>
        <w:rPr>
          <w:rFonts w:ascii="宋体" w:hAnsi="宋体"/>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4161155</wp:posOffset>
                </wp:positionH>
                <wp:positionV relativeFrom="paragraph">
                  <wp:posOffset>300990</wp:posOffset>
                </wp:positionV>
                <wp:extent cx="1041400" cy="443230"/>
                <wp:effectExtent l="4445" t="4445" r="5715" b="9525"/>
                <wp:wrapNone/>
                <wp:docPr id="7" name="文本框 7"/>
                <wp:cNvGraphicFramePr/>
                <a:graphic xmlns:a="http://schemas.openxmlformats.org/drawingml/2006/main">
                  <a:graphicData uri="http://schemas.microsoft.com/office/word/2010/wordprocessingShape">
                    <wps:wsp>
                      <wps:cNvSpPr txBox="1"/>
                      <wps:spPr>
                        <a:xfrm>
                          <a:off x="5433695" y="6442710"/>
                          <a:ext cx="1041400" cy="443230"/>
                        </a:xfrm>
                        <a:prstGeom prst="rect">
                          <a:avLst/>
                        </a:prstGeom>
                        <a:solidFill>
                          <a:sysClr val="window" lastClr="FFFFFF"/>
                        </a:solidFill>
                        <a:ln w="6350">
                          <a:solidFill>
                            <a:prstClr val="black"/>
                          </a:solidFill>
                        </a:ln>
                        <a:effectLst/>
                      </wps:spPr>
                      <wps:txbx>
                        <w:txbxContent>
                          <w:p w14:paraId="2F0BB93A">
                            <w:r>
                              <w:rPr>
                                <w:rFonts w:hint="eastAsia"/>
                              </w:rPr>
                              <w:t>G10/G11</w:t>
                            </w:r>
                            <w:r>
                              <w:t>填充块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65pt;margin-top:23.7pt;height:34.9pt;width:82pt;z-index:251660288;mso-width-relative:page;mso-height-relative:page;" fillcolor="#FFFFFF" filled="t" stroked="t" coordsize="21600,21600" o:gfxdata="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nU57V1wAAAAoBAAAPAAAAAAAAAAEAIAAAACIAAABkcnMv&#10;ZG93bnJldi54bWxQSwECFAAUAAAACACHTuJAKuN51XYCAADhBAAADgAAAAAAAAABACAAAAAmAQAA&#10;ZHJzL2Uyb0RvYy54bWxQSwUGAAAAAAYABgBZAQAADgYAAAAA&#10;">
                <v:path/>
                <v:fill on="t" focussize="0,0"/>
                <v:stroke weight="0.5pt"/>
                <v:imagedata o:title=""/>
                <o:lock v:ext="edit"/>
                <v:textbox>
                  <w:txbxContent>
                    <w:p w14:paraId="2F0BB93A">
                      <w:r>
                        <w:rPr>
                          <w:rFonts w:hint="eastAsia"/>
                        </w:rPr>
                        <w:t>G10/G11</w:t>
                      </w:r>
                      <w:r>
                        <w:t>填充块</w:t>
                      </w:r>
                    </w:p>
                  </w:txbxContent>
                </v:textbox>
              </v:shape>
            </w:pict>
          </mc:Fallback>
        </mc:AlternateContent>
      </w:r>
      <w:r>
        <w:rPr>
          <w:rFonts w:ascii="宋体" w:hAnsi="宋体"/>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3439795</wp:posOffset>
                </wp:positionH>
                <wp:positionV relativeFrom="paragraph">
                  <wp:posOffset>469265</wp:posOffset>
                </wp:positionV>
                <wp:extent cx="698500" cy="299085"/>
                <wp:effectExtent l="2540" t="12065" r="0" b="8890"/>
                <wp:wrapNone/>
                <wp:docPr id="8" name="直接箭头连接符 8"/>
                <wp:cNvGraphicFramePr/>
                <a:graphic xmlns:a="http://schemas.openxmlformats.org/drawingml/2006/main">
                  <a:graphicData uri="http://schemas.microsoft.com/office/word/2010/wordprocessingShape">
                    <wps:wsp>
                      <wps:cNvCnPr/>
                      <wps:spPr>
                        <a:xfrm flipV="1">
                          <a:off x="4340225" y="6959600"/>
                          <a:ext cx="698500" cy="299085"/>
                        </a:xfrm>
                        <a:prstGeom prst="straightConnector1">
                          <a:avLst/>
                        </a:prstGeom>
                        <a:noFill/>
                        <a:ln w="12700" cap="flat" cmpd="sng" algn="ctr">
                          <a:solidFill>
                            <a:srgbClr val="4472C4"/>
                          </a:solidFill>
                          <a:prstDash val="solid"/>
                          <a:miter lim="800000"/>
                          <a:tailEnd type="arrow"/>
                        </a:ln>
                        <a:effectLst/>
                      </wps:spPr>
                      <wps:bodyPr/>
                    </wps:wsp>
                  </a:graphicData>
                </a:graphic>
              </wp:anchor>
            </w:drawing>
          </mc:Choice>
          <mc:Fallback>
            <w:pict>
              <v:shape id="_x0000_s1026" o:spid="_x0000_s1026" o:spt="32" type="#_x0000_t32" style="position:absolute;left:0pt;flip:y;margin-left:270.85pt;margin-top:36.95pt;height:23.55pt;width:55pt;z-index:251659264;mso-width-relative:page;mso-height-relative:page;" filled="f" stroked="t" insetpen="f" coordsize="21600,21600" o:gfxdata="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8&#10;srxo2AAAAAoBAAAPAAAAAAAAAAEAIAAAACIAAABkcnMvZG93bnJldi54bWxQSwECFAAUAAAACACH&#10;TuJAnPe2uiQCAAAHBAAADgAAAAAAAAABACAAAAAnAQAAZHJzL2Uyb0RvYy54bWxQSwUGAAAAAAYA&#10;BgBZAQAAvQUAAAAA&#10;">
                <v:path arrowok="t"/>
                <v:fill on="f" focussize="0,0"/>
                <v:stroke weight="1pt" color="#4472C4" joinstyle="miter" endarrow="open"/>
                <v:imagedata o:title=""/>
                <o:lock v:ext="edit"/>
              </v:shape>
            </w:pict>
          </mc:Fallback>
        </mc:AlternateContent>
      </w:r>
      <w:r>
        <w:rPr>
          <w:rFonts w:ascii="宋体" w:hAnsi="宋体"/>
          <w:color w:val="auto"/>
          <w:sz w:val="24"/>
          <w:highlight w:val="none"/>
        </w:rPr>
        <w:drawing>
          <wp:inline distT="0" distB="0" distL="114300" distR="114300">
            <wp:extent cx="1703705" cy="2315210"/>
            <wp:effectExtent l="0" t="0" r="3175" b="12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1703705" cy="2315210"/>
                    </a:xfrm>
                    <a:prstGeom prst="rect">
                      <a:avLst/>
                    </a:prstGeom>
                    <a:noFill/>
                    <a:ln>
                      <a:noFill/>
                    </a:ln>
                  </pic:spPr>
                </pic:pic>
              </a:graphicData>
            </a:graphic>
          </wp:inline>
        </w:drawing>
      </w:r>
    </w:p>
    <w:p w14:paraId="14E0D8A0">
      <w:pPr>
        <w:spacing w:line="360" w:lineRule="auto"/>
        <w:ind w:left="420" w:leftChars="200"/>
        <w:jc w:val="center"/>
        <w:rPr>
          <w:rFonts w:ascii="宋体" w:hAnsi="宋体"/>
          <w:color w:val="auto"/>
          <w:sz w:val="24"/>
          <w:highlight w:val="none"/>
        </w:rPr>
      </w:pPr>
      <w:r>
        <w:rPr>
          <w:rFonts w:hint="eastAsia" w:ascii="宋体" w:hAnsi="宋体"/>
          <w:color w:val="auto"/>
          <w:sz w:val="24"/>
          <w:highlight w:val="none"/>
        </w:rPr>
        <w:t>图7</w:t>
      </w:r>
      <w:r>
        <w:rPr>
          <w:rFonts w:ascii="宋体" w:hAnsi="宋体"/>
          <w:color w:val="auto"/>
          <w:sz w:val="24"/>
          <w:highlight w:val="none"/>
        </w:rPr>
        <w:t xml:space="preserve"> </w:t>
      </w:r>
      <w:r>
        <w:rPr>
          <w:rFonts w:hint="eastAsia" w:ascii="宋体" w:hAnsi="宋体"/>
          <w:color w:val="auto"/>
          <w:sz w:val="24"/>
          <w:highlight w:val="none"/>
        </w:rPr>
        <w:t>氦进出管G10/G11填充块安装图</w:t>
      </w:r>
    </w:p>
    <w:p w14:paraId="6C0E0F37">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2016760" cy="1715135"/>
            <wp:effectExtent l="0" t="0" r="10160" b="698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2016760" cy="1715135"/>
                    </a:xfrm>
                    <a:prstGeom prst="rect">
                      <a:avLst/>
                    </a:prstGeom>
                    <a:noFill/>
                    <a:ln>
                      <a:noFill/>
                    </a:ln>
                  </pic:spPr>
                </pic:pic>
              </a:graphicData>
            </a:graphic>
          </wp:inline>
        </w:drawing>
      </w:r>
    </w:p>
    <w:p w14:paraId="21769D42">
      <w:pPr>
        <w:spacing w:line="360" w:lineRule="auto"/>
        <w:jc w:val="center"/>
        <w:rPr>
          <w:rFonts w:ascii="宋体" w:hAnsi="宋体"/>
          <w:color w:val="auto"/>
          <w:sz w:val="24"/>
          <w:highlight w:val="none"/>
        </w:rPr>
      </w:pPr>
      <w:r>
        <w:rPr>
          <w:rFonts w:hint="eastAsia" w:ascii="宋体" w:hAnsi="宋体"/>
          <w:color w:val="auto"/>
          <w:sz w:val="24"/>
          <w:highlight w:val="none"/>
        </w:rPr>
        <w:t>图8</w:t>
      </w:r>
      <w:r>
        <w:rPr>
          <w:rFonts w:ascii="宋体" w:hAnsi="宋体"/>
          <w:color w:val="auto"/>
          <w:sz w:val="24"/>
          <w:highlight w:val="none"/>
        </w:rPr>
        <w:t xml:space="preserve"> </w:t>
      </w:r>
      <w:r>
        <w:rPr>
          <w:rFonts w:hint="eastAsia" w:ascii="宋体" w:hAnsi="宋体"/>
          <w:color w:val="auto"/>
          <w:sz w:val="24"/>
          <w:highlight w:val="none"/>
        </w:rPr>
        <w:t>氦进出管处体绝缘包绕</w:t>
      </w:r>
    </w:p>
    <w:p w14:paraId="15EF790D">
      <w:pPr>
        <w:widowControl/>
        <w:numPr>
          <w:ilvl w:val="0"/>
          <w:numId w:val="1"/>
        </w:num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在体绝缘包绕过程中，导体S弯也需进行特殊处理，首先使用G10/G11填充块进行填充，最后进行此处体绝缘包绕，具体图示如下所示：</w:t>
      </w:r>
    </w:p>
    <w:p w14:paraId="29B546E1">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1503045" cy="2271395"/>
            <wp:effectExtent l="0" t="0" r="5715" b="146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1503045" cy="2271395"/>
                    </a:xfrm>
                    <a:prstGeom prst="rect">
                      <a:avLst/>
                    </a:prstGeom>
                    <a:noFill/>
                    <a:ln>
                      <a:noFill/>
                    </a:ln>
                  </pic:spPr>
                </pic:pic>
              </a:graphicData>
            </a:graphic>
          </wp:inline>
        </w:drawing>
      </w:r>
      <w:r>
        <w:rPr>
          <w:rFonts w:hint="eastAsia" w:ascii="宋体" w:hAnsi="宋体"/>
          <w:color w:val="auto"/>
          <w:sz w:val="24"/>
          <w:highlight w:val="none"/>
        </w:rPr>
        <w:t xml:space="preserve">                      </w:t>
      </w:r>
    </w:p>
    <w:p w14:paraId="091630F7">
      <w:pPr>
        <w:spacing w:line="360" w:lineRule="auto"/>
        <w:jc w:val="center"/>
        <w:rPr>
          <w:rFonts w:ascii="宋体" w:hAnsi="宋体"/>
          <w:color w:val="auto"/>
          <w:sz w:val="24"/>
          <w:highlight w:val="none"/>
        </w:rPr>
      </w:pPr>
      <w:r>
        <w:rPr>
          <w:rFonts w:hint="eastAsia" w:ascii="宋体" w:hAnsi="宋体"/>
          <w:color w:val="auto"/>
          <w:sz w:val="24"/>
          <w:highlight w:val="none"/>
        </w:rPr>
        <w:t xml:space="preserve">图9 </w:t>
      </w:r>
      <w:r>
        <w:rPr>
          <w:rFonts w:ascii="宋体" w:hAnsi="宋体"/>
          <w:color w:val="auto"/>
          <w:sz w:val="24"/>
          <w:highlight w:val="none"/>
        </w:rPr>
        <w:t xml:space="preserve"> </w:t>
      </w:r>
      <w:r>
        <w:rPr>
          <w:rFonts w:hint="eastAsia" w:ascii="宋体" w:hAnsi="宋体"/>
          <w:color w:val="auto"/>
          <w:sz w:val="24"/>
          <w:highlight w:val="none"/>
        </w:rPr>
        <w:t>S弯处G10/G11填充块安装图</w:t>
      </w:r>
    </w:p>
    <w:p w14:paraId="772D29F9">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1292860" cy="2315210"/>
            <wp:effectExtent l="0" t="0" r="2540"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1292860" cy="2315210"/>
                    </a:xfrm>
                    <a:prstGeom prst="rect">
                      <a:avLst/>
                    </a:prstGeom>
                    <a:noFill/>
                    <a:ln>
                      <a:noFill/>
                    </a:ln>
                  </pic:spPr>
                </pic:pic>
              </a:graphicData>
            </a:graphic>
          </wp:inline>
        </w:drawing>
      </w:r>
      <w:r>
        <w:rPr>
          <w:rFonts w:hint="eastAsia" w:ascii="宋体" w:hAnsi="宋体"/>
          <w:color w:val="auto"/>
          <w:sz w:val="24"/>
          <w:highlight w:val="none"/>
        </w:rPr>
        <w:t xml:space="preserve">  </w:t>
      </w:r>
      <w:r>
        <w:rPr>
          <w:rFonts w:ascii="宋体" w:hAnsi="宋体"/>
          <w:color w:val="auto"/>
          <w:sz w:val="24"/>
          <w:highlight w:val="none"/>
        </w:rPr>
        <w:drawing>
          <wp:inline distT="0" distB="0" distL="114300" distR="114300">
            <wp:extent cx="1160780" cy="2327910"/>
            <wp:effectExtent l="0" t="0" r="12700" b="381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1160780" cy="2327910"/>
                    </a:xfrm>
                    <a:prstGeom prst="rect">
                      <a:avLst/>
                    </a:prstGeom>
                    <a:noFill/>
                    <a:ln>
                      <a:noFill/>
                    </a:ln>
                  </pic:spPr>
                </pic:pic>
              </a:graphicData>
            </a:graphic>
          </wp:inline>
        </w:drawing>
      </w:r>
    </w:p>
    <w:p w14:paraId="06101B15">
      <w:pPr>
        <w:spacing w:line="360" w:lineRule="auto"/>
        <w:jc w:val="center"/>
        <w:rPr>
          <w:rFonts w:ascii="宋体" w:hAnsi="宋体"/>
          <w:color w:val="auto"/>
          <w:sz w:val="24"/>
          <w:highlight w:val="none"/>
        </w:rPr>
      </w:pPr>
      <w:r>
        <w:rPr>
          <w:rFonts w:hint="eastAsia" w:ascii="宋体" w:hAnsi="宋体"/>
          <w:color w:val="auto"/>
          <w:sz w:val="24"/>
          <w:highlight w:val="none"/>
        </w:rPr>
        <w:t>图10</w:t>
      </w:r>
      <w:r>
        <w:rPr>
          <w:rFonts w:ascii="宋体" w:hAnsi="宋体"/>
          <w:color w:val="auto"/>
          <w:sz w:val="24"/>
          <w:highlight w:val="none"/>
        </w:rPr>
        <w:t xml:space="preserve"> </w:t>
      </w:r>
      <w:r>
        <w:rPr>
          <w:rFonts w:hint="eastAsia" w:ascii="宋体" w:hAnsi="宋体"/>
          <w:color w:val="auto"/>
          <w:sz w:val="24"/>
          <w:highlight w:val="none"/>
        </w:rPr>
        <w:t>S弯处体绝缘包绕</w:t>
      </w:r>
    </w:p>
    <w:p w14:paraId="660D3566">
      <w:pPr>
        <w:widowControl/>
        <w:numPr>
          <w:ilvl w:val="0"/>
          <w:numId w:val="1"/>
        </w:num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当完成上述工作后，对线圈外表面及接头处包绕脱模布，脱模布缠绕方式采用半叠包方式；</w:t>
      </w:r>
    </w:p>
    <w:p w14:paraId="2F4A48A5">
      <w:pPr>
        <w:widowControl/>
        <w:numPr>
          <w:ilvl w:val="0"/>
          <w:numId w:val="1"/>
        </w:numPr>
        <w:spacing w:line="360" w:lineRule="auto"/>
        <w:ind w:firstLine="480" w:firstLineChars="200"/>
        <w:rPr>
          <w:rFonts w:ascii="宋体" w:hAnsi="宋体"/>
          <w:color w:val="auto"/>
          <w:sz w:val="24"/>
          <w:highlight w:val="none"/>
        </w:rPr>
      </w:pPr>
      <w:r>
        <w:rPr>
          <w:rFonts w:hint="eastAsia" w:ascii="宋体" w:hAnsi="宋体"/>
          <w:color w:val="auto"/>
          <w:sz w:val="24"/>
          <w:highlight w:val="none"/>
        </w:rPr>
        <w:t>PF线圈的接头处理及夹具装配工序位于超导接头制造完成后，VPI之前，主要包括绝缘包绕、G10/G11填充、接头背板的安装、接头夹具及装配组件安装等工作；完成接头绝缘包绕后，对线圈外表面接头处包绕脱模布，脱模布缠绕方式采用半叠包方式；每个线圈最中间接头需进行是湿包绕工艺，再此平台不做处理，接头操作如下图所示：</w:t>
      </w:r>
    </w:p>
    <w:p w14:paraId="5223680D">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4326890" cy="2672715"/>
            <wp:effectExtent l="0" t="0" r="1270" b="952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5"/>
                    <a:stretch>
                      <a:fillRect/>
                    </a:stretch>
                  </pic:blipFill>
                  <pic:spPr>
                    <a:xfrm>
                      <a:off x="0" y="0"/>
                      <a:ext cx="4326890" cy="2672715"/>
                    </a:xfrm>
                    <a:prstGeom prst="rect">
                      <a:avLst/>
                    </a:prstGeom>
                    <a:noFill/>
                    <a:ln>
                      <a:noFill/>
                    </a:ln>
                  </pic:spPr>
                </pic:pic>
              </a:graphicData>
            </a:graphic>
          </wp:inline>
        </w:drawing>
      </w:r>
    </w:p>
    <w:p w14:paraId="03516EA9">
      <w:pPr>
        <w:spacing w:line="360" w:lineRule="auto"/>
        <w:jc w:val="center"/>
        <w:rPr>
          <w:rFonts w:ascii="宋体" w:hAnsi="宋体"/>
          <w:color w:val="auto"/>
          <w:sz w:val="24"/>
          <w:highlight w:val="none"/>
        </w:rPr>
      </w:pPr>
      <w:r>
        <w:rPr>
          <w:rFonts w:hint="eastAsia" w:ascii="宋体" w:hAnsi="宋体"/>
          <w:color w:val="auto"/>
          <w:sz w:val="24"/>
          <w:highlight w:val="none"/>
        </w:rPr>
        <w:t>图11</w:t>
      </w:r>
      <w:r>
        <w:rPr>
          <w:rFonts w:ascii="宋体" w:hAnsi="宋体"/>
          <w:color w:val="auto"/>
          <w:sz w:val="24"/>
          <w:highlight w:val="none"/>
        </w:rPr>
        <w:t xml:space="preserve"> </w:t>
      </w:r>
      <w:r>
        <w:rPr>
          <w:rFonts w:hint="eastAsia" w:ascii="宋体" w:hAnsi="宋体"/>
          <w:color w:val="auto"/>
          <w:sz w:val="24"/>
          <w:highlight w:val="none"/>
        </w:rPr>
        <w:t>接头组成结构示意图</w:t>
      </w:r>
    </w:p>
    <w:p w14:paraId="2F78FD89">
      <w:pPr>
        <w:spacing w:line="360" w:lineRule="auto"/>
        <w:rPr>
          <w:rFonts w:ascii="宋体" w:hAnsi="宋体"/>
          <w:color w:val="auto"/>
          <w:sz w:val="24"/>
          <w:highlight w:val="none"/>
        </w:rPr>
      </w:pPr>
      <w:r>
        <w:rPr>
          <w:rFonts w:ascii="宋体" w:hAnsi="宋体"/>
          <w:color w:val="auto"/>
          <w:sz w:val="24"/>
          <w:highlight w:val="none"/>
        </w:rPr>
        <w:drawing>
          <wp:inline distT="0" distB="0" distL="114300" distR="114300">
            <wp:extent cx="5933440" cy="1185545"/>
            <wp:effectExtent l="0" t="0" r="10160" b="317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a:stretch>
                      <a:fillRect/>
                    </a:stretch>
                  </pic:blipFill>
                  <pic:spPr>
                    <a:xfrm>
                      <a:off x="0" y="0"/>
                      <a:ext cx="5933440" cy="1185545"/>
                    </a:xfrm>
                    <a:prstGeom prst="rect">
                      <a:avLst/>
                    </a:prstGeom>
                    <a:noFill/>
                    <a:ln>
                      <a:noFill/>
                    </a:ln>
                  </pic:spPr>
                </pic:pic>
              </a:graphicData>
            </a:graphic>
          </wp:inline>
        </w:drawing>
      </w:r>
    </w:p>
    <w:p w14:paraId="7EACA242">
      <w:pPr>
        <w:spacing w:line="360" w:lineRule="auto"/>
        <w:jc w:val="center"/>
        <w:rPr>
          <w:rFonts w:ascii="宋体" w:hAnsi="宋体"/>
          <w:color w:val="auto"/>
          <w:sz w:val="24"/>
          <w:highlight w:val="none"/>
        </w:rPr>
      </w:pPr>
      <w:r>
        <w:rPr>
          <w:rFonts w:hint="eastAsia" w:ascii="宋体" w:hAnsi="宋体"/>
          <w:color w:val="auto"/>
          <w:sz w:val="24"/>
          <w:highlight w:val="none"/>
        </w:rPr>
        <w:t>图12</w:t>
      </w:r>
      <w:r>
        <w:rPr>
          <w:rFonts w:ascii="宋体" w:hAnsi="宋体"/>
          <w:color w:val="auto"/>
          <w:sz w:val="24"/>
          <w:highlight w:val="none"/>
        </w:rPr>
        <w:t xml:space="preserve"> </w:t>
      </w:r>
      <w:r>
        <w:rPr>
          <w:rFonts w:hint="eastAsia" w:ascii="宋体" w:hAnsi="宋体"/>
          <w:color w:val="auto"/>
          <w:sz w:val="24"/>
          <w:highlight w:val="none"/>
        </w:rPr>
        <w:t>接头绝缘包绕图</w:t>
      </w:r>
    </w:p>
    <w:p w14:paraId="2470CBE3">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2254250" cy="1219200"/>
            <wp:effectExtent l="0" t="0" r="127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7"/>
                    <a:stretch>
                      <a:fillRect/>
                    </a:stretch>
                  </pic:blipFill>
                  <pic:spPr>
                    <a:xfrm>
                      <a:off x="0" y="0"/>
                      <a:ext cx="2254250" cy="1219200"/>
                    </a:xfrm>
                    <a:prstGeom prst="rect">
                      <a:avLst/>
                    </a:prstGeom>
                    <a:noFill/>
                    <a:ln>
                      <a:noFill/>
                    </a:ln>
                  </pic:spPr>
                </pic:pic>
              </a:graphicData>
            </a:graphic>
          </wp:inline>
        </w:drawing>
      </w:r>
    </w:p>
    <w:p w14:paraId="2E22BC59">
      <w:pPr>
        <w:spacing w:line="360" w:lineRule="auto"/>
        <w:jc w:val="center"/>
        <w:rPr>
          <w:rFonts w:ascii="宋体" w:hAnsi="宋体"/>
          <w:color w:val="auto"/>
          <w:sz w:val="24"/>
          <w:highlight w:val="none"/>
        </w:rPr>
      </w:pPr>
      <w:r>
        <w:rPr>
          <w:rFonts w:hint="eastAsia" w:ascii="宋体" w:hAnsi="宋体"/>
          <w:color w:val="auto"/>
          <w:sz w:val="24"/>
          <w:highlight w:val="none"/>
        </w:rPr>
        <w:t>图13接头G10/G11填充效果图</w:t>
      </w:r>
    </w:p>
    <w:p w14:paraId="2FF28076">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3146425" cy="1928495"/>
            <wp:effectExtent l="0" t="0" r="8255" b="698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8"/>
                    <a:stretch>
                      <a:fillRect/>
                    </a:stretch>
                  </pic:blipFill>
                  <pic:spPr>
                    <a:xfrm>
                      <a:off x="0" y="0"/>
                      <a:ext cx="3146425" cy="1928495"/>
                    </a:xfrm>
                    <a:prstGeom prst="rect">
                      <a:avLst/>
                    </a:prstGeom>
                    <a:noFill/>
                    <a:ln>
                      <a:noFill/>
                    </a:ln>
                  </pic:spPr>
                </pic:pic>
              </a:graphicData>
            </a:graphic>
          </wp:inline>
        </w:drawing>
      </w:r>
    </w:p>
    <w:p w14:paraId="73F6D53D">
      <w:pPr>
        <w:spacing w:line="360" w:lineRule="auto"/>
        <w:jc w:val="center"/>
        <w:rPr>
          <w:rFonts w:ascii="宋体" w:hAnsi="宋体"/>
          <w:color w:val="auto"/>
          <w:sz w:val="24"/>
          <w:highlight w:val="none"/>
        </w:rPr>
      </w:pPr>
      <w:r>
        <w:rPr>
          <w:rFonts w:hint="eastAsia" w:ascii="宋体" w:hAnsi="宋体"/>
          <w:color w:val="auto"/>
          <w:sz w:val="24"/>
          <w:highlight w:val="none"/>
        </w:rPr>
        <w:t>图14</w:t>
      </w:r>
      <w:r>
        <w:rPr>
          <w:rFonts w:ascii="宋体" w:hAnsi="宋体"/>
          <w:color w:val="auto"/>
          <w:sz w:val="24"/>
          <w:highlight w:val="none"/>
        </w:rPr>
        <w:t xml:space="preserve"> </w:t>
      </w:r>
      <w:r>
        <w:rPr>
          <w:rFonts w:hint="eastAsia" w:ascii="宋体" w:hAnsi="宋体"/>
          <w:color w:val="auto"/>
          <w:sz w:val="24"/>
          <w:highlight w:val="none"/>
        </w:rPr>
        <w:t>接头背板安装图</w:t>
      </w:r>
    </w:p>
    <w:p w14:paraId="16A0DDAE">
      <w:pPr>
        <w:widowControl/>
        <w:numPr>
          <w:ilvl w:val="0"/>
          <w:numId w:val="1"/>
        </w:num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当完成上述所有工作后，对线圈安装总夹具和线圈尺寸测量，堆叠完成后的线圈状态如下图所示：</w:t>
      </w:r>
    </w:p>
    <w:p w14:paraId="6EAB55BA">
      <w:pPr>
        <w:spacing w:line="360" w:lineRule="auto"/>
        <w:ind w:left="420" w:leftChars="200"/>
        <w:jc w:val="center"/>
        <w:rPr>
          <w:color w:val="auto"/>
          <w:highlight w:val="none"/>
        </w:rPr>
      </w:pPr>
      <w:bookmarkStart w:id="3" w:name="_GoBack"/>
      <w:r>
        <w:rPr>
          <w:color w:val="auto"/>
          <w:highlight w:val="none"/>
        </w:rPr>
        <w:drawing>
          <wp:inline distT="0" distB="0" distL="114300" distR="114300">
            <wp:extent cx="3455035" cy="2896870"/>
            <wp:effectExtent l="0" t="0" r="4445" b="1397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3455035" cy="2896870"/>
                    </a:xfrm>
                    <a:prstGeom prst="rect">
                      <a:avLst/>
                    </a:prstGeom>
                    <a:noFill/>
                    <a:ln>
                      <a:noFill/>
                    </a:ln>
                  </pic:spPr>
                </pic:pic>
              </a:graphicData>
            </a:graphic>
          </wp:inline>
        </w:drawing>
      </w:r>
      <w:bookmarkEnd w:id="3"/>
    </w:p>
    <w:p w14:paraId="676F8949">
      <w:pPr>
        <w:spacing w:line="360" w:lineRule="auto"/>
        <w:ind w:left="420" w:leftChars="200"/>
        <w:jc w:val="center"/>
        <w:rPr>
          <w:rFonts w:hint="eastAsia" w:ascii="宋体" w:hAnsi="宋体"/>
          <w:color w:val="auto"/>
          <w:sz w:val="24"/>
          <w:highlight w:val="none"/>
        </w:rPr>
      </w:pPr>
    </w:p>
    <w:p w14:paraId="5713E85C">
      <w:pPr>
        <w:spacing w:line="360" w:lineRule="auto"/>
        <w:ind w:left="420" w:leftChars="200"/>
        <w:jc w:val="center"/>
        <w:rPr>
          <w:rFonts w:hint="eastAsia" w:ascii="宋体" w:hAnsi="宋体"/>
          <w:color w:val="auto"/>
          <w:sz w:val="24"/>
          <w:highlight w:val="none"/>
        </w:rPr>
      </w:pPr>
      <w:r>
        <w:rPr>
          <w:rFonts w:hint="eastAsia" w:ascii="宋体" w:hAnsi="宋体"/>
          <w:color w:val="auto"/>
          <w:sz w:val="24"/>
          <w:highlight w:val="none"/>
        </w:rPr>
        <w:t>图15 PF6/7线圈示意图（堆叠时出线头朝下）</w:t>
      </w:r>
    </w:p>
    <w:p w14:paraId="3BEBBA3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561156"/>
    <w:multiLevelType w:val="singleLevel"/>
    <w:tmpl w:val="4B56115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C04761"/>
    <w:rsid w:val="40C047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beforeLines="0" w:after="330" w:afterLines="0" w:line="578" w:lineRule="auto"/>
      <w:outlineLvl w:val="0"/>
    </w:pPr>
    <w:rPr>
      <w:b/>
      <w:bCs/>
      <w:kern w:val="44"/>
      <w:sz w:val="44"/>
      <w:szCs w:val="44"/>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2025-06-25T00:34:00Z</dcterms:created>
  <dc:creator>哄哄</dc:creator>
  <cp:lastModifiedBy>哄哄</cp:lastModifiedBy>
  <dcterms:modified xsi:type="dcterms:W3CDTF">2025-06-25T00:34:44Z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E1CEA8E233E54272AE1A936869DDA6A2_11</vt:lpwstr>
  </property>
  <property fmtid="{D5CDD505-2E9C-101B-9397-08002B2CF9AE}" pid="4" name="KSOTemplateDocerSaveRecord">
    <vt:lpwstr>eyJoZGlkIjoiY2ZjZDI4YmRkZDY3MGZmNjNjY2JiZTFlYmI4OWM0ZWEiLCJ1c2VySWQiOiIxNzEyMDIyNTY2In0=</vt:lpwstr>
  </property>
</Properties>
</file>