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BB" w:rsidRPr="004D1F9A" w:rsidRDefault="00D638BB" w:rsidP="00D638BB">
      <w:pPr>
        <w:pStyle w:val="1"/>
        <w:widowControl/>
        <w:snapToGrid w:val="0"/>
        <w:spacing w:before="0" w:after="0" w:line="360" w:lineRule="auto"/>
        <w:jc w:val="center"/>
        <w:rPr>
          <w:rFonts w:ascii="宋体" w:hAnsi="宋体" w:hint="eastAsia"/>
        </w:rPr>
      </w:pPr>
      <w:r w:rsidRPr="004D1F9A">
        <w:rPr>
          <w:rFonts w:ascii="宋体" w:hAnsi="宋体" w:hint="eastAsia"/>
        </w:rPr>
        <w:t>采购需求及技术规格要求</w:t>
      </w:r>
    </w:p>
    <w:p w:rsidR="00D638BB" w:rsidRPr="004D1F9A" w:rsidRDefault="00D638BB" w:rsidP="00D638BB">
      <w:pPr>
        <w:adjustRightInd w:val="0"/>
        <w:snapToGrid w:val="0"/>
        <w:spacing w:beforeLines="50" w:before="156" w:line="360" w:lineRule="auto"/>
        <w:rPr>
          <w:b/>
          <w:sz w:val="24"/>
        </w:rPr>
      </w:pPr>
      <w:bookmarkStart w:id="0" w:name="_Hlk60938700"/>
      <w:r w:rsidRPr="004D1F9A">
        <w:rPr>
          <w:b/>
          <w:sz w:val="24"/>
        </w:rPr>
        <w:t>1</w:t>
      </w:r>
      <w:r w:rsidRPr="004D1F9A">
        <w:rPr>
          <w:rFonts w:hint="eastAsia"/>
          <w:b/>
          <w:sz w:val="24"/>
        </w:rPr>
        <w:t>、</w:t>
      </w:r>
      <w:r w:rsidRPr="004D1F9A">
        <w:rPr>
          <w:b/>
          <w:sz w:val="24"/>
        </w:rPr>
        <w:t>货物需求一览表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58"/>
        <w:gridCol w:w="2159"/>
        <w:gridCol w:w="1294"/>
        <w:gridCol w:w="3422"/>
      </w:tblGrid>
      <w:tr w:rsidR="00D638BB" w:rsidRPr="004D1F9A" w:rsidTr="006D08EB">
        <w:trPr>
          <w:jc w:val="center"/>
        </w:trPr>
        <w:tc>
          <w:tcPr>
            <w:tcW w:w="804"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序号</w:t>
            </w:r>
          </w:p>
        </w:tc>
        <w:tc>
          <w:tcPr>
            <w:tcW w:w="2458"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货物名称</w:t>
            </w:r>
          </w:p>
        </w:tc>
        <w:tc>
          <w:tcPr>
            <w:tcW w:w="2159"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数量</w:t>
            </w:r>
          </w:p>
        </w:tc>
        <w:tc>
          <w:tcPr>
            <w:tcW w:w="1294"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预算（万元）</w:t>
            </w:r>
          </w:p>
        </w:tc>
        <w:tc>
          <w:tcPr>
            <w:tcW w:w="3422" w:type="dxa"/>
            <w:vAlign w:val="center"/>
          </w:tcPr>
          <w:p w:rsidR="00D638BB" w:rsidRPr="004D1F9A" w:rsidRDefault="00D638BB" w:rsidP="006D08EB">
            <w:pPr>
              <w:adjustRightInd w:val="0"/>
              <w:snapToGrid w:val="0"/>
              <w:jc w:val="center"/>
              <w:rPr>
                <w:rFonts w:ascii="宋体" w:hAnsi="宋体"/>
                <w:szCs w:val="21"/>
              </w:rPr>
            </w:pPr>
            <w:r>
              <w:rPr>
                <w:rFonts w:ascii="宋体" w:hAnsi="宋体" w:hint="eastAsia"/>
                <w:szCs w:val="21"/>
              </w:rPr>
              <w:t>备注</w:t>
            </w:r>
          </w:p>
        </w:tc>
      </w:tr>
      <w:tr w:rsidR="00D638BB" w:rsidRPr="004D1F9A" w:rsidTr="006D08EB">
        <w:trPr>
          <w:trHeight w:val="331"/>
          <w:jc w:val="center"/>
        </w:trPr>
        <w:tc>
          <w:tcPr>
            <w:tcW w:w="804"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1</w:t>
            </w:r>
          </w:p>
        </w:tc>
        <w:tc>
          <w:tcPr>
            <w:tcW w:w="2458"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hint="eastAsia"/>
              </w:rPr>
              <w:t>太赫兹气体激光器</w:t>
            </w:r>
          </w:p>
        </w:tc>
        <w:tc>
          <w:tcPr>
            <w:tcW w:w="2159" w:type="dxa"/>
            <w:shd w:val="clear" w:color="auto" w:fill="auto"/>
            <w:vAlign w:val="center"/>
          </w:tcPr>
          <w:p w:rsidR="00D638BB" w:rsidRPr="004D1F9A" w:rsidRDefault="00D638BB" w:rsidP="006D08EB">
            <w:pPr>
              <w:adjustRightInd w:val="0"/>
              <w:snapToGrid w:val="0"/>
              <w:jc w:val="center"/>
              <w:rPr>
                <w:rFonts w:ascii="宋体" w:hAnsi="宋体"/>
                <w:szCs w:val="21"/>
              </w:rPr>
            </w:pPr>
            <w:r w:rsidRPr="004D1F9A">
              <w:rPr>
                <w:rFonts w:ascii="宋体" w:hAnsi="宋体" w:hint="eastAsia"/>
                <w:szCs w:val="21"/>
              </w:rPr>
              <w:t>1</w:t>
            </w:r>
          </w:p>
        </w:tc>
        <w:tc>
          <w:tcPr>
            <w:tcW w:w="1294" w:type="dxa"/>
            <w:shd w:val="clear" w:color="auto" w:fill="auto"/>
            <w:vAlign w:val="center"/>
          </w:tcPr>
          <w:p w:rsidR="00D638BB" w:rsidRPr="004D1F9A" w:rsidRDefault="00D638BB" w:rsidP="006D08EB">
            <w:pPr>
              <w:adjustRightInd w:val="0"/>
              <w:snapToGrid w:val="0"/>
              <w:jc w:val="center"/>
              <w:rPr>
                <w:rFonts w:ascii="宋体" w:hAnsi="宋体" w:hint="eastAsia"/>
                <w:szCs w:val="21"/>
              </w:rPr>
            </w:pPr>
            <w:r w:rsidRPr="004D1F9A">
              <w:rPr>
                <w:rFonts w:ascii="宋体" w:hAnsi="宋体"/>
                <w:szCs w:val="21"/>
              </w:rPr>
              <w:t>195</w:t>
            </w:r>
          </w:p>
        </w:tc>
        <w:tc>
          <w:tcPr>
            <w:tcW w:w="3422" w:type="dxa"/>
            <w:vAlign w:val="center"/>
          </w:tcPr>
          <w:p w:rsidR="00D638BB" w:rsidRPr="004D1F9A" w:rsidRDefault="00D638BB" w:rsidP="006D08EB">
            <w:pPr>
              <w:adjustRightInd w:val="0"/>
              <w:snapToGrid w:val="0"/>
              <w:jc w:val="center"/>
              <w:rPr>
                <w:rFonts w:ascii="宋体" w:hAnsi="宋体" w:hint="eastAsia"/>
                <w:szCs w:val="21"/>
              </w:rPr>
            </w:pPr>
            <w:r w:rsidRPr="006C4C0E">
              <w:rPr>
                <w:rFonts w:hint="eastAsia"/>
              </w:rPr>
              <w:t>合同签订后</w:t>
            </w:r>
            <w:r>
              <w:rPr>
                <w:rFonts w:hint="eastAsia"/>
              </w:rPr>
              <w:t>18</w:t>
            </w:r>
            <w:r w:rsidRPr="006C4C0E">
              <w:rPr>
                <w:rFonts w:hint="eastAsia"/>
              </w:rPr>
              <w:t>个月内完成并验收</w:t>
            </w:r>
          </w:p>
        </w:tc>
      </w:tr>
    </w:tbl>
    <w:p w:rsidR="00D638BB" w:rsidRPr="004D1F9A" w:rsidRDefault="00D638BB" w:rsidP="00D638BB">
      <w:pPr>
        <w:adjustRightInd w:val="0"/>
        <w:snapToGrid w:val="0"/>
        <w:spacing w:beforeLines="50" w:before="156" w:line="360" w:lineRule="auto"/>
        <w:rPr>
          <w:b/>
          <w:sz w:val="24"/>
        </w:rPr>
      </w:pPr>
      <w:bookmarkStart w:id="1" w:name="_Toc12010815"/>
      <w:bookmarkStart w:id="2" w:name="_Toc257021215"/>
      <w:bookmarkStart w:id="3" w:name="_Toc509153917"/>
      <w:bookmarkStart w:id="4" w:name="_Toc12010788"/>
      <w:bookmarkStart w:id="5" w:name="_Toc30409514"/>
      <w:bookmarkStart w:id="6" w:name="_Toc532807472"/>
      <w:r w:rsidRPr="004D1F9A">
        <w:rPr>
          <w:b/>
          <w:sz w:val="24"/>
        </w:rPr>
        <w:t>2</w:t>
      </w:r>
      <w:r w:rsidRPr="004D1F9A">
        <w:rPr>
          <w:rFonts w:hint="eastAsia"/>
          <w:b/>
          <w:sz w:val="24"/>
        </w:rPr>
        <w:t>、</w:t>
      </w:r>
      <w:r w:rsidRPr="004D1F9A">
        <w:rPr>
          <w:b/>
          <w:sz w:val="24"/>
        </w:rPr>
        <w:t>工程技术要求</w:t>
      </w:r>
      <w:bookmarkEnd w:id="1"/>
      <w:bookmarkEnd w:id="2"/>
      <w:bookmarkEnd w:id="3"/>
      <w:bookmarkEnd w:id="4"/>
      <w:bookmarkEnd w:id="5"/>
      <w:bookmarkEnd w:id="6"/>
    </w:p>
    <w:p w:rsidR="00D638BB" w:rsidRPr="004D1F9A" w:rsidRDefault="00D638BB" w:rsidP="00D638BB">
      <w:pPr>
        <w:adjustRightInd w:val="0"/>
        <w:snapToGrid w:val="0"/>
        <w:spacing w:beforeLines="50" w:before="156" w:line="360" w:lineRule="auto"/>
        <w:rPr>
          <w:b/>
          <w:sz w:val="24"/>
        </w:rPr>
      </w:pPr>
      <w:r w:rsidRPr="004D1F9A">
        <w:rPr>
          <w:b/>
          <w:sz w:val="24"/>
        </w:rPr>
        <w:t>2.</w:t>
      </w:r>
      <w:r w:rsidRPr="004D1F9A">
        <w:rPr>
          <w:rFonts w:hint="eastAsia"/>
          <w:b/>
          <w:sz w:val="24"/>
        </w:rPr>
        <w:t>1</w:t>
      </w:r>
      <w:r w:rsidRPr="004D1F9A">
        <w:rPr>
          <w:rFonts w:hint="eastAsia"/>
          <w:b/>
          <w:sz w:val="24"/>
        </w:rPr>
        <w:t>、</w:t>
      </w:r>
      <w:r w:rsidRPr="004D1F9A">
        <w:rPr>
          <w:b/>
          <w:sz w:val="24"/>
        </w:rPr>
        <w:t>设备的主要用途及功能</w:t>
      </w:r>
    </w:p>
    <w:p w:rsidR="00D638BB" w:rsidRPr="004D1F9A" w:rsidRDefault="00D638BB" w:rsidP="00D638BB">
      <w:pPr>
        <w:adjustRightInd w:val="0"/>
        <w:snapToGrid w:val="0"/>
        <w:spacing w:beforeLines="50" w:before="156" w:line="360" w:lineRule="auto"/>
        <w:ind w:firstLineChars="200" w:firstLine="480"/>
        <w:rPr>
          <w:rFonts w:hint="eastAsia"/>
          <w:bCs/>
          <w:sz w:val="24"/>
        </w:rPr>
      </w:pPr>
      <w:r w:rsidRPr="004D1F9A">
        <w:rPr>
          <w:rFonts w:hint="eastAsia"/>
          <w:bCs/>
          <w:sz w:val="24"/>
        </w:rPr>
        <w:t>磁约束聚变研究中等离子体电子密度和电流密度是最基本最重要的参数，目前主流的等离子体电子密度和电流密度测量主要依赖于太赫兹激光偏振干涉仪诊断系统，太赫兹激光的核心波段（</w:t>
      </w:r>
      <w:r w:rsidRPr="004D1F9A">
        <w:rPr>
          <w:rFonts w:hint="eastAsia"/>
          <w:bCs/>
          <w:sz w:val="24"/>
        </w:rPr>
        <w:t>0.5THz~3THz</w:t>
      </w:r>
      <w:r w:rsidRPr="004D1F9A">
        <w:rPr>
          <w:rFonts w:hint="eastAsia"/>
          <w:bCs/>
          <w:sz w:val="24"/>
        </w:rPr>
        <w:t>）也是未来聚变堆等离子体电子密度和电流密度测量的窗口波段。在国内外多个聚变研究装置中太赫兹偏振干涉技术都有所应用，其中太</w:t>
      </w:r>
      <w:proofErr w:type="gramStart"/>
      <w:r w:rsidRPr="004D1F9A">
        <w:rPr>
          <w:rFonts w:hint="eastAsia"/>
          <w:bCs/>
          <w:sz w:val="24"/>
        </w:rPr>
        <w:t>赫兹源</w:t>
      </w:r>
      <w:proofErr w:type="gramEnd"/>
      <w:r w:rsidRPr="004D1F9A">
        <w:rPr>
          <w:rFonts w:hint="eastAsia"/>
          <w:bCs/>
          <w:sz w:val="24"/>
        </w:rPr>
        <w:t>主要包括电激励的大功率连续波</w:t>
      </w:r>
      <w:r w:rsidRPr="004D1F9A">
        <w:rPr>
          <w:rFonts w:hint="eastAsia"/>
          <w:bCs/>
          <w:sz w:val="24"/>
        </w:rPr>
        <w:t>0.9THz</w:t>
      </w:r>
      <w:r w:rsidRPr="004D1F9A">
        <w:rPr>
          <w:rFonts w:hint="eastAsia"/>
          <w:bCs/>
          <w:sz w:val="24"/>
        </w:rPr>
        <w:t>激光源和</w:t>
      </w:r>
      <w:r w:rsidRPr="004D1F9A">
        <w:rPr>
          <w:rFonts w:hint="eastAsia"/>
          <w:bCs/>
          <w:sz w:val="24"/>
        </w:rPr>
        <w:t>1.54THz</w:t>
      </w:r>
      <w:r w:rsidRPr="004D1F9A">
        <w:rPr>
          <w:rFonts w:hint="eastAsia"/>
          <w:bCs/>
          <w:sz w:val="24"/>
        </w:rPr>
        <w:t>激光源，光泵的大功率连续波</w:t>
      </w:r>
      <w:r w:rsidRPr="004D1F9A">
        <w:rPr>
          <w:rFonts w:hint="eastAsia"/>
          <w:bCs/>
          <w:sz w:val="24"/>
        </w:rPr>
        <w:t>0.7THz</w:t>
      </w:r>
      <w:r w:rsidRPr="004D1F9A">
        <w:rPr>
          <w:rFonts w:hint="eastAsia"/>
          <w:bCs/>
          <w:sz w:val="24"/>
        </w:rPr>
        <w:t>激光源和</w:t>
      </w:r>
      <w:r w:rsidRPr="004D1F9A">
        <w:rPr>
          <w:rFonts w:hint="eastAsia"/>
          <w:bCs/>
          <w:sz w:val="24"/>
        </w:rPr>
        <w:t>2.5THz</w:t>
      </w:r>
      <w:r w:rsidRPr="004D1F9A">
        <w:rPr>
          <w:rFonts w:hint="eastAsia"/>
          <w:bCs/>
          <w:sz w:val="24"/>
        </w:rPr>
        <w:t>激光源。而光泵大功率连续波太赫兹激光器技术长期以来被欧美日等发达国家垄断，极大地限制了国内太</w:t>
      </w:r>
      <w:proofErr w:type="gramStart"/>
      <w:r w:rsidRPr="004D1F9A">
        <w:rPr>
          <w:rFonts w:hint="eastAsia"/>
          <w:bCs/>
          <w:sz w:val="24"/>
        </w:rPr>
        <w:t>赫兹技术</w:t>
      </w:r>
      <w:proofErr w:type="gramEnd"/>
      <w:r w:rsidRPr="004D1F9A">
        <w:rPr>
          <w:rFonts w:hint="eastAsia"/>
          <w:bCs/>
          <w:sz w:val="24"/>
        </w:rPr>
        <w:t>的发展。</w:t>
      </w:r>
    </w:p>
    <w:p w:rsidR="00D638BB" w:rsidRPr="004D1F9A" w:rsidRDefault="00D638BB" w:rsidP="00D638BB">
      <w:pPr>
        <w:adjustRightInd w:val="0"/>
        <w:snapToGrid w:val="0"/>
        <w:spacing w:beforeLines="50" w:before="156" w:line="360" w:lineRule="auto"/>
        <w:ind w:firstLineChars="200" w:firstLine="480"/>
        <w:rPr>
          <w:rFonts w:hint="eastAsia"/>
          <w:bCs/>
          <w:sz w:val="24"/>
        </w:rPr>
      </w:pPr>
      <w:r w:rsidRPr="004D1F9A">
        <w:rPr>
          <w:rFonts w:hint="eastAsia"/>
          <w:bCs/>
          <w:sz w:val="24"/>
        </w:rPr>
        <w:t>对于国内未来发展的聚变点火装置，由于装置的电子密度参数的提高，需要更高频率的大功率连续波太赫兹辐射源，以获得更高参数的电子密度测量；并且，偏振干涉仪需要的频率并不是越高越好，更高频的红外干涉仪由于波长更短，对于较低密度的实验数据信噪比较差，且法拉第旋转角太小，数据几乎会被噪声淹没，无法获得精确的法拉第旋转角，进而无法计算出准确的电流密度数据，因此，需要发展</w:t>
      </w:r>
      <w:r w:rsidRPr="004D1F9A">
        <w:rPr>
          <w:rFonts w:hint="eastAsia"/>
          <w:bCs/>
          <w:sz w:val="24"/>
        </w:rPr>
        <w:t>~2.5THz</w:t>
      </w:r>
      <w:r w:rsidRPr="004D1F9A">
        <w:rPr>
          <w:rFonts w:hint="eastAsia"/>
          <w:bCs/>
          <w:sz w:val="24"/>
        </w:rPr>
        <w:t>的激光光源，该波段光源的输出波长正适合于在提供高电子密度测量的同时，进行法拉第旋转角测量。</w:t>
      </w:r>
    </w:p>
    <w:p w:rsidR="00D638BB" w:rsidRPr="004D1F9A" w:rsidRDefault="00D638BB" w:rsidP="00D638BB">
      <w:pPr>
        <w:adjustRightInd w:val="0"/>
        <w:snapToGrid w:val="0"/>
        <w:spacing w:beforeLines="50" w:before="156" w:line="360" w:lineRule="auto"/>
        <w:ind w:firstLineChars="200" w:firstLine="480"/>
        <w:rPr>
          <w:rFonts w:hint="eastAsia"/>
          <w:bCs/>
          <w:sz w:val="24"/>
        </w:rPr>
      </w:pPr>
      <w:r w:rsidRPr="004D1F9A">
        <w:rPr>
          <w:rFonts w:hint="eastAsia"/>
          <w:bCs/>
          <w:sz w:val="24"/>
        </w:rPr>
        <w:t>拟采购一套</w:t>
      </w:r>
      <w:r w:rsidRPr="004D1F9A">
        <w:rPr>
          <w:rFonts w:hint="eastAsia"/>
          <w:bCs/>
          <w:sz w:val="24"/>
        </w:rPr>
        <w:t>2.5THz</w:t>
      </w:r>
      <w:r w:rsidRPr="004D1F9A">
        <w:rPr>
          <w:rFonts w:hint="eastAsia"/>
          <w:bCs/>
          <w:sz w:val="24"/>
        </w:rPr>
        <w:t>光泵大功率连续波激光器系统，为聚变等离子体偏振干涉仪诊断和相关应用研究提供稳定可靠的</w:t>
      </w:r>
      <w:proofErr w:type="gramStart"/>
      <w:r w:rsidRPr="004D1F9A">
        <w:rPr>
          <w:rFonts w:hint="eastAsia"/>
          <w:bCs/>
          <w:sz w:val="24"/>
        </w:rPr>
        <w:t>高频太赫兹</w:t>
      </w:r>
      <w:proofErr w:type="gramEnd"/>
      <w:r w:rsidRPr="004D1F9A">
        <w:rPr>
          <w:rFonts w:hint="eastAsia"/>
          <w:bCs/>
          <w:sz w:val="24"/>
        </w:rPr>
        <w:t>激光光源</w:t>
      </w:r>
      <w:r>
        <w:rPr>
          <w:rFonts w:hint="eastAsia"/>
          <w:bCs/>
          <w:sz w:val="24"/>
        </w:rPr>
        <w:t>，并基于该激光器系统，提供</w:t>
      </w:r>
      <w:r>
        <w:rPr>
          <w:rFonts w:hint="eastAsia"/>
          <w:sz w:val="24"/>
        </w:rPr>
        <w:t>偏振干涉仪系统光学设计</w:t>
      </w:r>
      <w:r w:rsidRPr="004D1F9A">
        <w:rPr>
          <w:rFonts w:hint="eastAsia"/>
          <w:bCs/>
          <w:sz w:val="24"/>
        </w:rPr>
        <w:t>。</w:t>
      </w:r>
    </w:p>
    <w:p w:rsidR="00D638BB" w:rsidRPr="004D1F9A" w:rsidRDefault="00D638BB" w:rsidP="00D638BB">
      <w:pPr>
        <w:adjustRightInd w:val="0"/>
        <w:snapToGrid w:val="0"/>
        <w:spacing w:beforeLines="50" w:before="156" w:line="360" w:lineRule="auto"/>
        <w:rPr>
          <w:b/>
          <w:sz w:val="24"/>
        </w:rPr>
      </w:pPr>
      <w:r w:rsidRPr="004D1F9A">
        <w:rPr>
          <w:b/>
          <w:sz w:val="24"/>
        </w:rPr>
        <w:t>2.3</w:t>
      </w:r>
      <w:r w:rsidRPr="004D1F9A">
        <w:rPr>
          <w:rFonts w:hint="eastAsia"/>
          <w:b/>
          <w:sz w:val="24"/>
        </w:rPr>
        <w:t>、</w:t>
      </w:r>
      <w:r w:rsidRPr="004D1F9A">
        <w:rPr>
          <w:rFonts w:hint="eastAsia"/>
          <w:b/>
          <w:sz w:val="24"/>
        </w:rPr>
        <w:t xml:space="preserve"> </w:t>
      </w:r>
      <w:r w:rsidRPr="004D1F9A">
        <w:rPr>
          <w:b/>
          <w:sz w:val="24"/>
        </w:rPr>
        <w:t>工作条件</w:t>
      </w:r>
    </w:p>
    <w:p w:rsidR="00D638BB" w:rsidRPr="004D1F9A" w:rsidRDefault="00D638BB" w:rsidP="00D638BB">
      <w:pPr>
        <w:adjustRightInd w:val="0"/>
        <w:snapToGrid w:val="0"/>
        <w:spacing w:beforeLines="50" w:before="156" w:line="360" w:lineRule="auto"/>
        <w:ind w:firstLineChars="200" w:firstLine="480"/>
        <w:rPr>
          <w:rFonts w:hint="eastAsia"/>
          <w:b/>
          <w:sz w:val="24"/>
        </w:rPr>
      </w:pPr>
      <w:r w:rsidRPr="004D1F9A">
        <w:rPr>
          <w:rFonts w:hint="eastAsia"/>
          <w:sz w:val="24"/>
        </w:rPr>
        <w:t>环境温度</w:t>
      </w:r>
      <w:r w:rsidRPr="004D1F9A">
        <w:rPr>
          <w:rFonts w:hint="eastAsia"/>
          <w:sz w:val="24"/>
        </w:rPr>
        <w:t>15-35</w:t>
      </w:r>
      <w:r w:rsidRPr="004D1F9A">
        <w:rPr>
          <w:rFonts w:hint="eastAsia"/>
          <w:sz w:val="24"/>
        </w:rPr>
        <w:t>℃，环境湿度</w:t>
      </w:r>
      <w:r w:rsidRPr="004D1F9A">
        <w:rPr>
          <w:rFonts w:hint="eastAsia"/>
          <w:sz w:val="24"/>
        </w:rPr>
        <w:t>30%-50%</w:t>
      </w:r>
      <w:r w:rsidRPr="004D1F9A">
        <w:rPr>
          <w:sz w:val="24"/>
        </w:rPr>
        <w:t>RH</w:t>
      </w:r>
    </w:p>
    <w:p w:rsidR="00D638BB" w:rsidRPr="004D1F9A" w:rsidRDefault="00D638BB" w:rsidP="00D638BB">
      <w:pPr>
        <w:adjustRightInd w:val="0"/>
        <w:snapToGrid w:val="0"/>
        <w:spacing w:beforeLines="50" w:before="156" w:line="360" w:lineRule="auto"/>
        <w:rPr>
          <w:rFonts w:hint="eastAsia"/>
          <w:b/>
          <w:sz w:val="24"/>
        </w:rPr>
      </w:pPr>
      <w:r w:rsidRPr="004D1F9A">
        <w:rPr>
          <w:b/>
          <w:sz w:val="24"/>
        </w:rPr>
        <w:lastRenderedPageBreak/>
        <w:t>2.4</w:t>
      </w:r>
      <w:r w:rsidRPr="004D1F9A">
        <w:rPr>
          <w:rFonts w:hint="eastAsia"/>
          <w:b/>
          <w:sz w:val="24"/>
        </w:rPr>
        <w:t>、</w:t>
      </w:r>
      <w:r w:rsidRPr="004D1F9A">
        <w:rPr>
          <w:b/>
          <w:sz w:val="24"/>
        </w:rPr>
        <w:t xml:space="preserve"> </w:t>
      </w:r>
      <w:r w:rsidRPr="004D1F9A">
        <w:rPr>
          <w:b/>
          <w:sz w:val="24"/>
        </w:rPr>
        <w:t>技术性能指标要求</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1. </w:t>
      </w:r>
      <w:r w:rsidRPr="004D1F9A">
        <w:rPr>
          <w:rFonts w:hint="eastAsia"/>
          <w:sz w:val="24"/>
        </w:rPr>
        <w:t>二氧化碳泵浦太赫兹气体激光器，连续波输出，输出频率</w:t>
      </w:r>
      <w:r w:rsidRPr="004D1F9A">
        <w:rPr>
          <w:rFonts w:hint="eastAsia"/>
          <w:sz w:val="24"/>
        </w:rPr>
        <w:t>~2.52THz</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2. </w:t>
      </w:r>
      <w:r w:rsidRPr="004D1F9A">
        <w:rPr>
          <w:rFonts w:hint="eastAsia"/>
          <w:sz w:val="24"/>
        </w:rPr>
        <w:t>可输出</w:t>
      </w:r>
      <w:r>
        <w:rPr>
          <w:rFonts w:hint="eastAsia"/>
          <w:sz w:val="24"/>
        </w:rPr>
        <w:t>稳定频率的</w:t>
      </w:r>
      <w:r w:rsidRPr="004D1F9A">
        <w:rPr>
          <w:rFonts w:hint="eastAsia"/>
          <w:sz w:val="24"/>
        </w:rPr>
        <w:t>太赫兹波，</w:t>
      </w:r>
      <w:r>
        <w:rPr>
          <w:rFonts w:hint="eastAsia"/>
          <w:sz w:val="24"/>
        </w:rPr>
        <w:t>若使用两台激光器差</w:t>
      </w:r>
      <w:proofErr w:type="gramStart"/>
      <w:r>
        <w:rPr>
          <w:rFonts w:hint="eastAsia"/>
          <w:sz w:val="24"/>
        </w:rPr>
        <w:t>频</w:t>
      </w:r>
      <w:proofErr w:type="gramEnd"/>
      <w:r>
        <w:rPr>
          <w:rFonts w:hint="eastAsia"/>
          <w:sz w:val="24"/>
        </w:rPr>
        <w:t>输出，</w:t>
      </w:r>
      <w:r w:rsidRPr="004D1F9A">
        <w:rPr>
          <w:rFonts w:hint="eastAsia"/>
          <w:sz w:val="24"/>
        </w:rPr>
        <w:t>中频稳定性在</w:t>
      </w:r>
      <w:r w:rsidRPr="004D1F9A">
        <w:rPr>
          <w:rFonts w:hint="eastAsia"/>
          <w:sz w:val="24"/>
        </w:rPr>
        <w:t>1</w:t>
      </w:r>
      <w:r w:rsidRPr="004D1F9A">
        <w:rPr>
          <w:rFonts w:hint="eastAsia"/>
          <w:sz w:val="24"/>
        </w:rPr>
        <w:t>小时内好于</w:t>
      </w:r>
      <w:r w:rsidRPr="004D1F9A">
        <w:rPr>
          <w:rFonts w:hint="eastAsia"/>
          <w:sz w:val="24"/>
        </w:rPr>
        <w:t>5%</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3. </w:t>
      </w:r>
      <w:r w:rsidRPr="004D1F9A">
        <w:rPr>
          <w:rFonts w:hint="eastAsia"/>
          <w:sz w:val="24"/>
        </w:rPr>
        <w:t>太</w:t>
      </w:r>
      <w:proofErr w:type="gramStart"/>
      <w:r w:rsidRPr="004D1F9A">
        <w:rPr>
          <w:rFonts w:hint="eastAsia"/>
          <w:sz w:val="24"/>
        </w:rPr>
        <w:t>赫兹波单频</w:t>
      </w:r>
      <w:proofErr w:type="gramEnd"/>
      <w:r w:rsidRPr="004D1F9A">
        <w:rPr>
          <w:rFonts w:hint="eastAsia"/>
          <w:sz w:val="24"/>
        </w:rPr>
        <w:t>最大输出功率≥</w:t>
      </w:r>
      <w:r>
        <w:rPr>
          <w:rFonts w:hint="eastAsia"/>
          <w:sz w:val="24"/>
        </w:rPr>
        <w:t>3</w:t>
      </w:r>
      <w:r w:rsidRPr="004D1F9A">
        <w:rPr>
          <w:rFonts w:hint="eastAsia"/>
          <w:sz w:val="24"/>
        </w:rPr>
        <w:t xml:space="preserve">0 </w:t>
      </w:r>
      <w:proofErr w:type="spellStart"/>
      <w:r w:rsidRPr="004D1F9A">
        <w:rPr>
          <w:rFonts w:hint="eastAsia"/>
          <w:sz w:val="24"/>
        </w:rPr>
        <w:t>mW</w:t>
      </w:r>
      <w:proofErr w:type="spellEnd"/>
      <w:r w:rsidRPr="004D1F9A">
        <w:rPr>
          <w:rFonts w:hint="eastAsia"/>
          <w:sz w:val="24"/>
        </w:rPr>
        <w:t>，</w:t>
      </w:r>
      <w:r w:rsidRPr="004D1F9A">
        <w:rPr>
          <w:rFonts w:hint="eastAsia"/>
          <w:sz w:val="24"/>
        </w:rPr>
        <w:t>1</w:t>
      </w:r>
      <w:r w:rsidRPr="004D1F9A">
        <w:rPr>
          <w:rFonts w:hint="eastAsia"/>
          <w:sz w:val="24"/>
        </w:rPr>
        <w:t>小时内的功率稳定性好于</w:t>
      </w:r>
      <w:r w:rsidRPr="004D1F9A">
        <w:rPr>
          <w:rFonts w:hint="eastAsia"/>
          <w:sz w:val="24"/>
        </w:rPr>
        <w:t>10%</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rFonts w:hint="eastAsia"/>
          <w:sz w:val="24"/>
        </w:rPr>
      </w:pPr>
      <w:r w:rsidRPr="004D1F9A">
        <w:rPr>
          <w:rFonts w:hint="eastAsia"/>
          <w:sz w:val="24"/>
        </w:rPr>
        <w:t>4. CO2</w:t>
      </w:r>
      <w:r w:rsidRPr="004D1F9A">
        <w:rPr>
          <w:rFonts w:hint="eastAsia"/>
          <w:sz w:val="24"/>
        </w:rPr>
        <w:t>泵浦源输出谱线满足</w:t>
      </w:r>
      <w:r w:rsidRPr="004D1F9A">
        <w:rPr>
          <w:rFonts w:hint="eastAsia"/>
          <w:sz w:val="24"/>
        </w:rPr>
        <w:t>9P36</w:t>
      </w:r>
      <w:r w:rsidRPr="004D1F9A">
        <w:rPr>
          <w:rFonts w:hint="eastAsia"/>
          <w:sz w:val="24"/>
        </w:rPr>
        <w:t>谱线输出，激光输出功率≥</w:t>
      </w:r>
      <w:r w:rsidRPr="004D1F9A">
        <w:rPr>
          <w:rFonts w:hint="eastAsia"/>
          <w:sz w:val="24"/>
        </w:rPr>
        <w:t>40W</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5. </w:t>
      </w:r>
      <w:r w:rsidRPr="004D1F9A">
        <w:rPr>
          <w:rFonts w:hint="eastAsia"/>
          <w:sz w:val="24"/>
        </w:rPr>
        <w:t>整机可满足单次开机后维持一个实验周期（</w:t>
      </w:r>
      <w:r w:rsidRPr="004D1F9A">
        <w:rPr>
          <w:rFonts w:hint="eastAsia"/>
          <w:sz w:val="24"/>
        </w:rPr>
        <w:t>3</w:t>
      </w:r>
      <w:r w:rsidRPr="004D1F9A">
        <w:rPr>
          <w:rFonts w:hint="eastAsia"/>
          <w:sz w:val="24"/>
        </w:rPr>
        <w:t>个月）连续稳定运行，实验期间无需重复开关机。</w:t>
      </w:r>
    </w:p>
    <w:p w:rsidR="00D638BB" w:rsidRDefault="00D638BB" w:rsidP="00D638BB">
      <w:pPr>
        <w:spacing w:line="360" w:lineRule="auto"/>
        <w:ind w:firstLineChars="200" w:firstLine="480"/>
        <w:rPr>
          <w:rFonts w:ascii="宋体" w:hAnsi="宋体" w:cs="黑体"/>
          <w:sz w:val="24"/>
        </w:rPr>
      </w:pPr>
      <w:r w:rsidRPr="004D1F9A">
        <w:rPr>
          <w:rFonts w:hint="eastAsia"/>
          <w:sz w:val="24"/>
        </w:rPr>
        <w:t xml:space="preserve">6. </w:t>
      </w:r>
      <w:r w:rsidRPr="004D1F9A">
        <w:rPr>
          <w:rFonts w:ascii="宋体" w:hAnsi="宋体" w:cs="黑体" w:hint="eastAsia"/>
          <w:sz w:val="24"/>
        </w:rPr>
        <w:t>线偏振输出，远场特性TEM00 （1.5m后）</w:t>
      </w:r>
    </w:p>
    <w:p w:rsidR="00D638BB" w:rsidRPr="00A24F18" w:rsidRDefault="00D638BB" w:rsidP="00D638BB">
      <w:pPr>
        <w:spacing w:line="360" w:lineRule="auto"/>
        <w:ind w:firstLineChars="200" w:firstLine="480"/>
        <w:rPr>
          <w:rFonts w:hint="eastAsia"/>
          <w:sz w:val="24"/>
        </w:rPr>
      </w:pPr>
      <w:r w:rsidRPr="00A24F18">
        <w:rPr>
          <w:sz w:val="24"/>
        </w:rPr>
        <w:t>7.</w:t>
      </w:r>
      <w:r>
        <w:rPr>
          <w:rFonts w:hint="eastAsia"/>
          <w:sz w:val="24"/>
        </w:rPr>
        <w:t xml:space="preserve"> </w:t>
      </w:r>
      <w:r>
        <w:rPr>
          <w:rFonts w:hint="eastAsia"/>
          <w:sz w:val="24"/>
        </w:rPr>
        <w:t>提供基于</w:t>
      </w:r>
      <w:r>
        <w:rPr>
          <w:rFonts w:hint="eastAsia"/>
          <w:sz w:val="24"/>
        </w:rPr>
        <w:t>2.52THz</w:t>
      </w:r>
      <w:r>
        <w:rPr>
          <w:rFonts w:hint="eastAsia"/>
          <w:sz w:val="24"/>
        </w:rPr>
        <w:t>光泵激光器为光源的燃烧等离子体装置偏振干涉仪系统光学设计，完成光学设计图。</w:t>
      </w:r>
    </w:p>
    <w:p w:rsidR="00D638BB" w:rsidRPr="004D1F9A" w:rsidRDefault="00D638BB" w:rsidP="00D638BB">
      <w:pPr>
        <w:adjustRightInd w:val="0"/>
        <w:snapToGrid w:val="0"/>
        <w:spacing w:beforeLines="50" w:before="156" w:line="360" w:lineRule="auto"/>
        <w:rPr>
          <w:b/>
          <w:sz w:val="24"/>
        </w:rPr>
      </w:pPr>
      <w:r w:rsidRPr="004D1F9A">
        <w:rPr>
          <w:b/>
          <w:sz w:val="24"/>
        </w:rPr>
        <w:t>2.5</w:t>
      </w:r>
      <w:r w:rsidRPr="004D1F9A">
        <w:rPr>
          <w:rFonts w:hint="eastAsia"/>
          <w:b/>
          <w:sz w:val="24"/>
        </w:rPr>
        <w:t>、</w:t>
      </w:r>
      <w:r w:rsidRPr="004D1F9A">
        <w:rPr>
          <w:b/>
          <w:sz w:val="24"/>
        </w:rPr>
        <w:t xml:space="preserve"> </w:t>
      </w:r>
      <w:r w:rsidRPr="004D1F9A">
        <w:rPr>
          <w:b/>
          <w:sz w:val="24"/>
        </w:rPr>
        <w:t>技术服务要求及质保要求</w:t>
      </w:r>
    </w:p>
    <w:p w:rsidR="00D638BB" w:rsidRPr="004D1F9A" w:rsidRDefault="00D638BB" w:rsidP="00D638BB">
      <w:pPr>
        <w:adjustRightInd w:val="0"/>
        <w:snapToGrid w:val="0"/>
        <w:spacing w:beforeLines="50" w:before="156" w:line="360" w:lineRule="auto"/>
        <w:rPr>
          <w:rFonts w:hint="eastAsia"/>
          <w:sz w:val="24"/>
        </w:rPr>
      </w:pPr>
      <w:r w:rsidRPr="004D1F9A">
        <w:rPr>
          <w:rFonts w:hint="eastAsia"/>
          <w:sz w:val="24"/>
        </w:rPr>
        <w:t>（</w:t>
      </w:r>
      <w:r w:rsidRPr="004D1F9A">
        <w:rPr>
          <w:rFonts w:hint="eastAsia"/>
          <w:sz w:val="24"/>
        </w:rPr>
        <w:t>1</w:t>
      </w:r>
      <w:r w:rsidRPr="004D1F9A">
        <w:rPr>
          <w:rFonts w:hint="eastAsia"/>
          <w:sz w:val="24"/>
        </w:rPr>
        <w:t>）质保期一年，质保期内乙方对由于设计、工艺或材料的缺陷而发生的任何不足和故障负责任。</w:t>
      </w:r>
    </w:p>
    <w:p w:rsidR="00D638BB" w:rsidRPr="004D1F9A" w:rsidRDefault="00D638BB" w:rsidP="00D638BB">
      <w:pPr>
        <w:adjustRightInd w:val="0"/>
        <w:snapToGrid w:val="0"/>
        <w:spacing w:beforeLines="50" w:before="156" w:line="360" w:lineRule="auto"/>
        <w:rPr>
          <w:rFonts w:hint="eastAsia"/>
          <w:sz w:val="24"/>
        </w:rPr>
      </w:pPr>
      <w:r w:rsidRPr="004D1F9A">
        <w:rPr>
          <w:rFonts w:hint="eastAsia"/>
          <w:sz w:val="24"/>
        </w:rPr>
        <w:t>（</w:t>
      </w:r>
      <w:r w:rsidRPr="004D1F9A">
        <w:rPr>
          <w:rFonts w:hint="eastAsia"/>
          <w:sz w:val="24"/>
        </w:rPr>
        <w:t>2</w:t>
      </w:r>
      <w:r w:rsidRPr="004D1F9A">
        <w:rPr>
          <w:rFonts w:hint="eastAsia"/>
          <w:sz w:val="24"/>
        </w:rPr>
        <w:t>）验收合格后开始计算质保期（零部件、配件等外购件的质保期适用其自有质保期的规定），在质保期内，乙方对由于制造、工艺或材料的缺陷而产生的</w:t>
      </w:r>
      <w:proofErr w:type="gramStart"/>
      <w:r w:rsidRPr="004D1F9A">
        <w:rPr>
          <w:rFonts w:hint="eastAsia"/>
          <w:sz w:val="24"/>
        </w:rPr>
        <w:t>的</w:t>
      </w:r>
      <w:proofErr w:type="gramEnd"/>
      <w:r w:rsidRPr="004D1F9A">
        <w:rPr>
          <w:rFonts w:hint="eastAsia"/>
          <w:sz w:val="24"/>
        </w:rPr>
        <w:t>故障负责。乙方对产品提供质保期内硬件损坏免费更换维修。外购件的质量问题，由乙方负责与供货方协调。如因用户责任引起的硬件损坏，只收取硬件费用；软件和系统缺陷免费维护修理。</w:t>
      </w:r>
    </w:p>
    <w:p w:rsidR="00D638BB" w:rsidRPr="004D1F9A" w:rsidRDefault="00D638BB" w:rsidP="00D638BB">
      <w:pPr>
        <w:adjustRightInd w:val="0"/>
        <w:snapToGrid w:val="0"/>
        <w:spacing w:beforeLines="50" w:before="156" w:line="360" w:lineRule="auto"/>
        <w:rPr>
          <w:rFonts w:hint="eastAsia"/>
          <w:sz w:val="24"/>
        </w:rPr>
      </w:pPr>
      <w:r w:rsidRPr="004D1F9A">
        <w:rPr>
          <w:rFonts w:hint="eastAsia"/>
          <w:sz w:val="24"/>
        </w:rPr>
        <w:t>（</w:t>
      </w:r>
      <w:r w:rsidRPr="004D1F9A">
        <w:rPr>
          <w:rFonts w:hint="eastAsia"/>
          <w:sz w:val="24"/>
        </w:rPr>
        <w:t>3</w:t>
      </w:r>
      <w:r w:rsidRPr="004D1F9A">
        <w:rPr>
          <w:rFonts w:hint="eastAsia"/>
          <w:sz w:val="24"/>
        </w:rPr>
        <w:t>）乙方积极响应用户的要求和解决售后相关问题，保证有全天候热线电话服务。在质保期内设备出现故障，接到甲方有详细描述故障现象的报修通知后</w:t>
      </w:r>
      <w:r w:rsidRPr="004D1F9A">
        <w:rPr>
          <w:rFonts w:hint="eastAsia"/>
          <w:sz w:val="24"/>
        </w:rPr>
        <w:t>8</w:t>
      </w:r>
      <w:r w:rsidRPr="004D1F9A">
        <w:rPr>
          <w:rFonts w:hint="eastAsia"/>
          <w:sz w:val="24"/>
        </w:rPr>
        <w:t>小时内提供技术响应，并确定负责维修的工程师名单及服务时间，</w:t>
      </w:r>
      <w:r w:rsidRPr="004D1F9A">
        <w:rPr>
          <w:rFonts w:hint="eastAsia"/>
          <w:sz w:val="24"/>
        </w:rPr>
        <w:t>48</w:t>
      </w:r>
      <w:r w:rsidRPr="004D1F9A">
        <w:rPr>
          <w:rFonts w:hint="eastAsia"/>
          <w:sz w:val="24"/>
        </w:rPr>
        <w:t>小时内到达现场，紧急问题</w:t>
      </w:r>
      <w:r w:rsidRPr="004D1F9A">
        <w:rPr>
          <w:rFonts w:hint="eastAsia"/>
          <w:sz w:val="24"/>
        </w:rPr>
        <w:t>36</w:t>
      </w:r>
      <w:r w:rsidRPr="004D1F9A">
        <w:rPr>
          <w:rFonts w:hint="eastAsia"/>
          <w:sz w:val="24"/>
        </w:rPr>
        <w:t>小时到达现场，因乙方原因或责任引发的故障，</w:t>
      </w:r>
      <w:r w:rsidRPr="004D1F9A">
        <w:rPr>
          <w:rFonts w:hint="eastAsia"/>
          <w:sz w:val="24"/>
        </w:rPr>
        <w:t>5</w:t>
      </w:r>
      <w:r w:rsidRPr="004D1F9A">
        <w:rPr>
          <w:rFonts w:hint="eastAsia"/>
          <w:sz w:val="24"/>
        </w:rPr>
        <w:t>个工作日内排除故障。如不能按期排除故障，则设备保修期顺延，且须在</w:t>
      </w:r>
      <w:r w:rsidRPr="004D1F9A">
        <w:rPr>
          <w:rFonts w:hint="eastAsia"/>
          <w:sz w:val="24"/>
        </w:rPr>
        <w:t>30</w:t>
      </w:r>
      <w:r w:rsidRPr="004D1F9A">
        <w:rPr>
          <w:rFonts w:hint="eastAsia"/>
          <w:sz w:val="24"/>
        </w:rPr>
        <w:t>天内排除故障。非乙方原因或责任引发的</w:t>
      </w:r>
      <w:proofErr w:type="gramStart"/>
      <w:r w:rsidRPr="004D1F9A">
        <w:rPr>
          <w:rFonts w:hint="eastAsia"/>
          <w:sz w:val="24"/>
        </w:rPr>
        <w:t>的</w:t>
      </w:r>
      <w:proofErr w:type="gramEnd"/>
      <w:r w:rsidRPr="004D1F9A">
        <w:rPr>
          <w:rFonts w:hint="eastAsia"/>
          <w:sz w:val="24"/>
        </w:rPr>
        <w:t>故障，由甲乙双方共同协商解决。</w:t>
      </w:r>
    </w:p>
    <w:p w:rsidR="00D638BB" w:rsidRPr="004D1F9A" w:rsidRDefault="00D638BB" w:rsidP="00D638BB">
      <w:pPr>
        <w:adjustRightInd w:val="0"/>
        <w:snapToGrid w:val="0"/>
        <w:spacing w:beforeLines="50" w:before="156" w:line="360" w:lineRule="auto"/>
        <w:rPr>
          <w:rFonts w:hint="eastAsia"/>
          <w:b/>
          <w:sz w:val="24"/>
        </w:rPr>
      </w:pPr>
      <w:r w:rsidRPr="004D1F9A">
        <w:rPr>
          <w:b/>
          <w:sz w:val="24"/>
        </w:rPr>
        <w:t>2.6</w:t>
      </w:r>
      <w:r w:rsidRPr="004D1F9A">
        <w:rPr>
          <w:rFonts w:hint="eastAsia"/>
          <w:b/>
          <w:sz w:val="24"/>
        </w:rPr>
        <w:t>、</w:t>
      </w:r>
      <w:r w:rsidRPr="004D1F9A">
        <w:rPr>
          <w:b/>
          <w:sz w:val="24"/>
        </w:rPr>
        <w:t>验收标准及验收程序</w:t>
      </w:r>
      <w:r w:rsidRPr="004D1F9A">
        <w:rPr>
          <w:b/>
          <w:sz w:val="24"/>
        </w:rPr>
        <w:tab/>
      </w:r>
    </w:p>
    <w:bookmarkEnd w:id="0"/>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验收标准：</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1. </w:t>
      </w:r>
      <w:r w:rsidRPr="004D1F9A">
        <w:rPr>
          <w:rFonts w:hint="eastAsia"/>
          <w:sz w:val="24"/>
        </w:rPr>
        <w:t>二氧化碳泵浦太赫兹气体激光器，连续波输出，输出频率</w:t>
      </w:r>
      <w:r w:rsidRPr="004D1F9A">
        <w:rPr>
          <w:rFonts w:hint="eastAsia"/>
          <w:sz w:val="24"/>
        </w:rPr>
        <w:t>2.52THz</w:t>
      </w:r>
      <w:r w:rsidRPr="004D1F9A">
        <w:rPr>
          <w:rFonts w:hint="eastAsia"/>
          <w:sz w:val="24"/>
        </w:rPr>
        <w:t>，偏差±</w:t>
      </w:r>
      <w:r w:rsidRPr="004D1F9A">
        <w:rPr>
          <w:rFonts w:hint="eastAsia"/>
          <w:sz w:val="24"/>
        </w:rPr>
        <w:t>1%</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2. </w:t>
      </w:r>
      <w:r w:rsidRPr="004D1F9A">
        <w:rPr>
          <w:rFonts w:hint="eastAsia"/>
          <w:sz w:val="24"/>
        </w:rPr>
        <w:t>可输出</w:t>
      </w:r>
      <w:r>
        <w:rPr>
          <w:rFonts w:hint="eastAsia"/>
          <w:sz w:val="24"/>
        </w:rPr>
        <w:t>稳定</w:t>
      </w:r>
      <w:r w:rsidRPr="004D1F9A">
        <w:rPr>
          <w:rFonts w:hint="eastAsia"/>
          <w:sz w:val="24"/>
        </w:rPr>
        <w:t>太赫兹波，</w:t>
      </w:r>
      <w:r>
        <w:rPr>
          <w:rFonts w:hint="eastAsia"/>
          <w:sz w:val="24"/>
        </w:rPr>
        <w:t>若使用双激光器</w:t>
      </w:r>
      <w:r w:rsidRPr="004D1F9A">
        <w:rPr>
          <w:rFonts w:hint="eastAsia"/>
          <w:sz w:val="24"/>
        </w:rPr>
        <w:t>差频</w:t>
      </w:r>
      <w:r>
        <w:rPr>
          <w:rFonts w:hint="eastAsia"/>
          <w:sz w:val="24"/>
        </w:rPr>
        <w:t>，中频</w:t>
      </w:r>
      <w:r w:rsidRPr="004D1F9A">
        <w:rPr>
          <w:rFonts w:hint="eastAsia"/>
          <w:sz w:val="24"/>
        </w:rPr>
        <w:t>可稳定在</w:t>
      </w:r>
      <w:r w:rsidRPr="004D1F9A">
        <w:rPr>
          <w:rFonts w:hint="eastAsia"/>
          <w:sz w:val="24"/>
        </w:rPr>
        <w:t>1MHz</w:t>
      </w:r>
      <w:r w:rsidRPr="004D1F9A">
        <w:rPr>
          <w:rFonts w:hint="eastAsia"/>
          <w:sz w:val="24"/>
        </w:rPr>
        <w:t>，中频偏差±</w:t>
      </w:r>
      <w:r w:rsidRPr="004D1F9A">
        <w:rPr>
          <w:rFonts w:hint="eastAsia"/>
          <w:sz w:val="24"/>
        </w:rPr>
        <w:t>5%</w:t>
      </w:r>
      <w:r w:rsidRPr="004D1F9A">
        <w:rPr>
          <w:rFonts w:hint="eastAsia"/>
          <w:sz w:val="24"/>
        </w:rPr>
        <w:t>，中频稳定性在</w:t>
      </w:r>
      <w:r w:rsidRPr="004D1F9A">
        <w:rPr>
          <w:rFonts w:hint="eastAsia"/>
          <w:sz w:val="24"/>
        </w:rPr>
        <w:t>1</w:t>
      </w:r>
      <w:r w:rsidRPr="004D1F9A">
        <w:rPr>
          <w:rFonts w:hint="eastAsia"/>
          <w:sz w:val="24"/>
        </w:rPr>
        <w:t>小时内好于</w:t>
      </w:r>
      <w:r w:rsidRPr="004D1F9A">
        <w:rPr>
          <w:rFonts w:hint="eastAsia"/>
          <w:sz w:val="24"/>
        </w:rPr>
        <w:t>5%</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 xml:space="preserve">3. </w:t>
      </w:r>
      <w:r w:rsidRPr="004D1F9A">
        <w:rPr>
          <w:rFonts w:hint="eastAsia"/>
          <w:sz w:val="24"/>
        </w:rPr>
        <w:t>太</w:t>
      </w:r>
      <w:proofErr w:type="gramStart"/>
      <w:r w:rsidRPr="004D1F9A">
        <w:rPr>
          <w:rFonts w:hint="eastAsia"/>
          <w:sz w:val="24"/>
        </w:rPr>
        <w:t>赫兹波单频</w:t>
      </w:r>
      <w:proofErr w:type="gramEnd"/>
      <w:r w:rsidRPr="004D1F9A">
        <w:rPr>
          <w:rFonts w:hint="eastAsia"/>
          <w:sz w:val="24"/>
        </w:rPr>
        <w:t>最大输出功率≥</w:t>
      </w:r>
      <w:r>
        <w:rPr>
          <w:rFonts w:hint="eastAsia"/>
          <w:sz w:val="24"/>
        </w:rPr>
        <w:t>3</w:t>
      </w:r>
      <w:r w:rsidRPr="004D1F9A">
        <w:rPr>
          <w:rFonts w:hint="eastAsia"/>
          <w:sz w:val="24"/>
        </w:rPr>
        <w:t xml:space="preserve">0 </w:t>
      </w:r>
      <w:proofErr w:type="spellStart"/>
      <w:r w:rsidRPr="004D1F9A">
        <w:rPr>
          <w:rFonts w:hint="eastAsia"/>
          <w:sz w:val="24"/>
        </w:rPr>
        <w:t>mW</w:t>
      </w:r>
      <w:proofErr w:type="spellEnd"/>
      <w:r w:rsidRPr="004D1F9A">
        <w:rPr>
          <w:rFonts w:hint="eastAsia"/>
          <w:sz w:val="24"/>
        </w:rPr>
        <w:t>，</w:t>
      </w:r>
      <w:r w:rsidRPr="004D1F9A">
        <w:rPr>
          <w:rFonts w:hint="eastAsia"/>
          <w:sz w:val="24"/>
        </w:rPr>
        <w:t>1</w:t>
      </w:r>
      <w:r w:rsidRPr="004D1F9A">
        <w:rPr>
          <w:rFonts w:hint="eastAsia"/>
          <w:sz w:val="24"/>
        </w:rPr>
        <w:t>小时内的功率稳定性好于</w:t>
      </w:r>
      <w:r w:rsidRPr="004D1F9A">
        <w:rPr>
          <w:rFonts w:hint="eastAsia"/>
          <w:sz w:val="24"/>
        </w:rPr>
        <w:t>10%</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rFonts w:hint="eastAsia"/>
          <w:sz w:val="24"/>
        </w:rPr>
      </w:pPr>
      <w:r w:rsidRPr="004D1F9A">
        <w:rPr>
          <w:rFonts w:hint="eastAsia"/>
          <w:sz w:val="24"/>
        </w:rPr>
        <w:t>4. CO2</w:t>
      </w:r>
      <w:r w:rsidRPr="004D1F9A">
        <w:rPr>
          <w:rFonts w:hint="eastAsia"/>
          <w:sz w:val="24"/>
        </w:rPr>
        <w:t>泵浦源为紧凑型</w:t>
      </w:r>
      <w:r w:rsidRPr="004D1F9A">
        <w:rPr>
          <w:rFonts w:hint="eastAsia"/>
          <w:sz w:val="24"/>
        </w:rPr>
        <w:t>CO2</w:t>
      </w:r>
      <w:r w:rsidRPr="004D1F9A">
        <w:rPr>
          <w:rFonts w:hint="eastAsia"/>
          <w:sz w:val="24"/>
        </w:rPr>
        <w:t>激光器，输出谱线满足</w:t>
      </w:r>
      <w:r w:rsidRPr="004D1F9A">
        <w:rPr>
          <w:rFonts w:hint="eastAsia"/>
          <w:sz w:val="24"/>
        </w:rPr>
        <w:t>9P36</w:t>
      </w:r>
      <w:r w:rsidRPr="004D1F9A">
        <w:rPr>
          <w:rFonts w:hint="eastAsia"/>
          <w:sz w:val="24"/>
        </w:rPr>
        <w:t>谱线输出，激光输出功率≥</w:t>
      </w:r>
      <w:r w:rsidRPr="004D1F9A">
        <w:rPr>
          <w:rFonts w:hint="eastAsia"/>
          <w:sz w:val="24"/>
        </w:rPr>
        <w:t>40W</w:t>
      </w:r>
      <w:r w:rsidRPr="004D1F9A">
        <w:rPr>
          <w:rFonts w:hint="eastAsia"/>
          <w:sz w:val="24"/>
        </w:rPr>
        <w:t>；</w:t>
      </w:r>
    </w:p>
    <w:p w:rsidR="00D638BB" w:rsidRPr="004D1F9A" w:rsidRDefault="00D638BB" w:rsidP="00D638BB">
      <w:pPr>
        <w:adjustRightInd w:val="0"/>
        <w:snapToGrid w:val="0"/>
        <w:spacing w:beforeLines="50" w:before="156" w:line="360" w:lineRule="auto"/>
        <w:ind w:firstLineChars="200" w:firstLine="480"/>
        <w:rPr>
          <w:sz w:val="24"/>
        </w:rPr>
      </w:pPr>
      <w:r w:rsidRPr="004D1F9A">
        <w:rPr>
          <w:rFonts w:hint="eastAsia"/>
          <w:sz w:val="24"/>
        </w:rPr>
        <w:t>5. 24</w:t>
      </w:r>
      <w:r w:rsidRPr="004D1F9A">
        <w:rPr>
          <w:rFonts w:hint="eastAsia"/>
          <w:sz w:val="24"/>
        </w:rPr>
        <w:t>小时全天候连续稳定运行，无需重复开关机。</w:t>
      </w:r>
    </w:p>
    <w:p w:rsidR="00D638BB" w:rsidRDefault="00D638BB" w:rsidP="00D638BB">
      <w:pPr>
        <w:spacing w:line="360" w:lineRule="auto"/>
        <w:ind w:firstLineChars="200" w:firstLine="480"/>
        <w:rPr>
          <w:rFonts w:ascii="宋体" w:hAnsi="宋体" w:cs="黑体"/>
          <w:sz w:val="24"/>
        </w:rPr>
      </w:pPr>
      <w:r w:rsidRPr="004D1F9A">
        <w:rPr>
          <w:rFonts w:hint="eastAsia"/>
          <w:sz w:val="24"/>
        </w:rPr>
        <w:t xml:space="preserve">6. </w:t>
      </w:r>
      <w:r w:rsidRPr="004D1F9A">
        <w:rPr>
          <w:rFonts w:ascii="宋体" w:hAnsi="宋体" w:cs="黑体" w:hint="eastAsia"/>
          <w:sz w:val="24"/>
        </w:rPr>
        <w:t>线偏振输出，远场特性TEM00 （1.5m后）</w:t>
      </w:r>
    </w:p>
    <w:p w:rsidR="00D638BB" w:rsidRPr="005A4701" w:rsidRDefault="00D638BB" w:rsidP="00D638BB">
      <w:pPr>
        <w:spacing w:line="360" w:lineRule="auto"/>
        <w:ind w:firstLineChars="200" w:firstLine="480"/>
        <w:rPr>
          <w:rFonts w:ascii="宋体" w:hAnsi="宋体" w:cs="黑体" w:hint="eastAsia"/>
          <w:sz w:val="24"/>
        </w:rPr>
      </w:pPr>
      <w:r>
        <w:rPr>
          <w:rFonts w:hint="eastAsia"/>
          <w:sz w:val="24"/>
        </w:rPr>
        <w:t>7</w:t>
      </w:r>
      <w:r w:rsidRPr="004D1F9A">
        <w:rPr>
          <w:rFonts w:hint="eastAsia"/>
          <w:sz w:val="24"/>
        </w:rPr>
        <w:t xml:space="preserve">. </w:t>
      </w:r>
      <w:r>
        <w:rPr>
          <w:rFonts w:ascii="宋体" w:hAnsi="宋体" w:cs="黑体" w:hint="eastAsia"/>
          <w:sz w:val="24"/>
        </w:rPr>
        <w:t>基于高斯光学完成</w:t>
      </w:r>
      <w:r>
        <w:rPr>
          <w:rFonts w:hint="eastAsia"/>
          <w:sz w:val="24"/>
        </w:rPr>
        <w:t>2.52THz</w:t>
      </w:r>
      <w:r>
        <w:rPr>
          <w:rFonts w:hint="eastAsia"/>
          <w:sz w:val="24"/>
        </w:rPr>
        <w:t>光泵激光器为光源的偏振干涉仪系统光学设计。</w:t>
      </w:r>
    </w:p>
    <w:p w:rsidR="00D638BB" w:rsidRPr="004D1F9A" w:rsidRDefault="00D638BB" w:rsidP="00D638BB">
      <w:pPr>
        <w:tabs>
          <w:tab w:val="left" w:pos="851"/>
        </w:tabs>
        <w:spacing w:beforeLines="50" w:before="156" w:line="360" w:lineRule="auto"/>
        <w:rPr>
          <w:sz w:val="24"/>
        </w:rPr>
      </w:pPr>
      <w:r w:rsidRPr="004D1F9A">
        <w:rPr>
          <w:rFonts w:hint="eastAsia"/>
          <w:sz w:val="24"/>
        </w:rPr>
        <w:t>验收方法：</w:t>
      </w:r>
    </w:p>
    <w:p w:rsidR="00D638BB" w:rsidRPr="004D1F9A" w:rsidRDefault="00D638BB" w:rsidP="00D638BB">
      <w:pPr>
        <w:tabs>
          <w:tab w:val="left" w:pos="851"/>
        </w:tabs>
        <w:spacing w:beforeLines="50" w:before="156" w:line="360" w:lineRule="auto"/>
        <w:rPr>
          <w:sz w:val="24"/>
        </w:rPr>
      </w:pPr>
      <w:r w:rsidRPr="004D1F9A">
        <w:rPr>
          <w:rFonts w:hint="eastAsia"/>
          <w:sz w:val="24"/>
        </w:rPr>
        <w:t>（</w:t>
      </w:r>
      <w:r w:rsidRPr="004D1F9A">
        <w:rPr>
          <w:rFonts w:hint="eastAsia"/>
          <w:sz w:val="24"/>
        </w:rPr>
        <w:t>1</w:t>
      </w:r>
      <w:r w:rsidRPr="004D1F9A">
        <w:rPr>
          <w:rFonts w:hint="eastAsia"/>
          <w:sz w:val="24"/>
        </w:rPr>
        <w:t>）提供二氧化碳泵浦甲醇激光器一台，作为泵浦源的二氧化碳激光器输出谱线为</w:t>
      </w:r>
      <w:r w:rsidRPr="004D1F9A">
        <w:rPr>
          <w:rFonts w:hint="eastAsia"/>
          <w:sz w:val="24"/>
        </w:rPr>
        <w:t>9P36</w:t>
      </w:r>
      <w:r w:rsidRPr="004D1F9A">
        <w:rPr>
          <w:rFonts w:hint="eastAsia"/>
          <w:sz w:val="24"/>
        </w:rPr>
        <w:t>，使用太赫兹波长计测试（或其他有效证明太赫兹激光输出波长的方法），证明太赫兹气体激光器输出频率</w:t>
      </w:r>
      <w:r w:rsidRPr="004D1F9A">
        <w:rPr>
          <w:rFonts w:hint="eastAsia"/>
          <w:sz w:val="24"/>
        </w:rPr>
        <w:t>~2.52THz</w:t>
      </w:r>
      <w:r w:rsidRPr="004D1F9A">
        <w:rPr>
          <w:rFonts w:hint="eastAsia"/>
          <w:sz w:val="24"/>
        </w:rPr>
        <w:t>；</w:t>
      </w:r>
    </w:p>
    <w:p w:rsidR="00D638BB" w:rsidRPr="004D1F9A" w:rsidRDefault="00D638BB" w:rsidP="00D638BB">
      <w:pPr>
        <w:tabs>
          <w:tab w:val="left" w:pos="851"/>
        </w:tabs>
        <w:spacing w:beforeLines="50" w:before="156" w:line="360" w:lineRule="auto"/>
        <w:rPr>
          <w:rFonts w:hint="eastAsia"/>
          <w:sz w:val="24"/>
        </w:rPr>
      </w:pPr>
      <w:r w:rsidRPr="004D1F9A">
        <w:rPr>
          <w:rFonts w:hint="eastAsia"/>
          <w:sz w:val="24"/>
        </w:rPr>
        <w:t>（</w:t>
      </w:r>
      <w:r w:rsidRPr="004D1F9A">
        <w:rPr>
          <w:rFonts w:hint="eastAsia"/>
          <w:sz w:val="24"/>
        </w:rPr>
        <w:t>2</w:t>
      </w:r>
      <w:r w:rsidRPr="004D1F9A">
        <w:rPr>
          <w:rFonts w:hint="eastAsia"/>
          <w:sz w:val="24"/>
        </w:rPr>
        <w:t>）</w:t>
      </w:r>
      <w:r>
        <w:rPr>
          <w:rFonts w:hint="eastAsia"/>
          <w:sz w:val="24"/>
        </w:rPr>
        <w:t>乙方需提供中频稳定性测试报告，</w:t>
      </w:r>
      <w:r w:rsidRPr="004D1F9A">
        <w:rPr>
          <w:rFonts w:hint="eastAsia"/>
          <w:sz w:val="24"/>
        </w:rPr>
        <w:t>中频稳定性优于</w:t>
      </w:r>
      <w:r w:rsidRPr="004D1F9A">
        <w:rPr>
          <w:rFonts w:hint="eastAsia"/>
          <w:sz w:val="24"/>
        </w:rPr>
        <w:t>5%</w:t>
      </w:r>
      <w:r w:rsidRPr="004D1F9A">
        <w:rPr>
          <w:rFonts w:hint="eastAsia"/>
          <w:sz w:val="24"/>
        </w:rPr>
        <w:t>；</w:t>
      </w:r>
    </w:p>
    <w:p w:rsidR="00D638BB" w:rsidRPr="004D1F9A" w:rsidRDefault="00D638BB" w:rsidP="00D638BB">
      <w:pPr>
        <w:tabs>
          <w:tab w:val="left" w:pos="851"/>
        </w:tabs>
        <w:spacing w:beforeLines="50" w:before="156" w:line="360" w:lineRule="auto"/>
        <w:rPr>
          <w:sz w:val="24"/>
        </w:rPr>
      </w:pPr>
      <w:r w:rsidRPr="004D1F9A">
        <w:rPr>
          <w:rFonts w:hint="eastAsia"/>
          <w:sz w:val="24"/>
        </w:rPr>
        <w:t>（</w:t>
      </w:r>
      <w:r w:rsidRPr="004D1F9A">
        <w:rPr>
          <w:rFonts w:hint="eastAsia"/>
          <w:sz w:val="24"/>
        </w:rPr>
        <w:t>3</w:t>
      </w:r>
      <w:r w:rsidRPr="004D1F9A">
        <w:rPr>
          <w:rFonts w:hint="eastAsia"/>
          <w:sz w:val="24"/>
        </w:rPr>
        <w:t>）使用太赫兹功率计（型号</w:t>
      </w:r>
      <w:r w:rsidRPr="004D1F9A">
        <w:rPr>
          <w:rFonts w:hint="eastAsia"/>
          <w:sz w:val="24"/>
        </w:rPr>
        <w:t>Vega 3A-P-THz</w:t>
      </w:r>
      <w:r w:rsidRPr="004D1F9A">
        <w:rPr>
          <w:rFonts w:hint="eastAsia"/>
          <w:sz w:val="24"/>
        </w:rPr>
        <w:t>）放置于激光器</w:t>
      </w:r>
      <w:proofErr w:type="gramStart"/>
      <w:r w:rsidRPr="004D1F9A">
        <w:rPr>
          <w:rFonts w:hint="eastAsia"/>
          <w:sz w:val="24"/>
        </w:rPr>
        <w:t>出光口测试</w:t>
      </w:r>
      <w:proofErr w:type="gramEnd"/>
      <w:r w:rsidRPr="004D1F9A">
        <w:rPr>
          <w:rFonts w:hint="eastAsia"/>
          <w:sz w:val="24"/>
        </w:rPr>
        <w:t>激光器输出功率，需测得输出功率的值≥</w:t>
      </w:r>
      <w:r>
        <w:rPr>
          <w:rFonts w:hint="eastAsia"/>
          <w:sz w:val="24"/>
        </w:rPr>
        <w:t>3</w:t>
      </w:r>
      <w:r w:rsidRPr="004D1F9A">
        <w:rPr>
          <w:rFonts w:hint="eastAsia"/>
          <w:sz w:val="24"/>
        </w:rPr>
        <w:t xml:space="preserve">0 </w:t>
      </w:r>
      <w:proofErr w:type="spellStart"/>
      <w:r w:rsidRPr="004D1F9A">
        <w:rPr>
          <w:rFonts w:hint="eastAsia"/>
          <w:sz w:val="24"/>
        </w:rPr>
        <w:t>mW</w:t>
      </w:r>
      <w:proofErr w:type="spellEnd"/>
      <w:r w:rsidRPr="004D1F9A">
        <w:rPr>
          <w:rFonts w:hint="eastAsia"/>
          <w:sz w:val="24"/>
        </w:rPr>
        <w:t>；测试</w:t>
      </w:r>
      <w:r w:rsidRPr="004D1F9A">
        <w:rPr>
          <w:rFonts w:hint="eastAsia"/>
          <w:sz w:val="24"/>
        </w:rPr>
        <w:t>1</w:t>
      </w:r>
      <w:r w:rsidRPr="004D1F9A">
        <w:rPr>
          <w:rFonts w:hint="eastAsia"/>
          <w:sz w:val="24"/>
        </w:rPr>
        <w:t>小时内</w:t>
      </w:r>
      <w:r>
        <w:rPr>
          <w:rFonts w:hint="eastAsia"/>
          <w:sz w:val="24"/>
        </w:rPr>
        <w:t>功率</w:t>
      </w:r>
      <w:r w:rsidRPr="004D1F9A">
        <w:rPr>
          <w:rFonts w:hint="eastAsia"/>
          <w:sz w:val="24"/>
        </w:rPr>
        <w:t>稳定性是否好于</w:t>
      </w:r>
      <w:r w:rsidRPr="004D1F9A">
        <w:rPr>
          <w:rFonts w:hint="eastAsia"/>
          <w:sz w:val="24"/>
        </w:rPr>
        <w:t>10%</w:t>
      </w:r>
      <w:r w:rsidRPr="004D1F9A">
        <w:rPr>
          <w:rFonts w:hint="eastAsia"/>
          <w:sz w:val="24"/>
        </w:rPr>
        <w:t>。</w:t>
      </w:r>
    </w:p>
    <w:p w:rsidR="00D638BB" w:rsidRPr="004D1F9A" w:rsidRDefault="00D638BB" w:rsidP="00D638BB">
      <w:pPr>
        <w:tabs>
          <w:tab w:val="left" w:pos="851"/>
        </w:tabs>
        <w:spacing w:beforeLines="50" w:before="156" w:line="360" w:lineRule="auto"/>
        <w:rPr>
          <w:rFonts w:hint="eastAsia"/>
          <w:sz w:val="24"/>
        </w:rPr>
      </w:pPr>
      <w:r w:rsidRPr="004D1F9A">
        <w:rPr>
          <w:rFonts w:hint="eastAsia"/>
          <w:sz w:val="24"/>
        </w:rPr>
        <w:t>（</w:t>
      </w:r>
      <w:r w:rsidRPr="004D1F9A">
        <w:rPr>
          <w:rFonts w:hint="eastAsia"/>
          <w:sz w:val="24"/>
        </w:rPr>
        <w:t>4</w:t>
      </w:r>
      <w:r w:rsidRPr="004D1F9A">
        <w:rPr>
          <w:rFonts w:hint="eastAsia"/>
          <w:sz w:val="24"/>
        </w:rPr>
        <w:t>）使用</w:t>
      </w:r>
      <w:r w:rsidRPr="004D1F9A">
        <w:rPr>
          <w:rFonts w:hint="eastAsia"/>
          <w:sz w:val="24"/>
        </w:rPr>
        <w:t>CO2</w:t>
      </w:r>
      <w:r w:rsidRPr="004D1F9A">
        <w:rPr>
          <w:rFonts w:hint="eastAsia"/>
          <w:sz w:val="24"/>
        </w:rPr>
        <w:t>功率计和</w:t>
      </w:r>
      <w:r w:rsidRPr="004D1F9A">
        <w:rPr>
          <w:rFonts w:hint="eastAsia"/>
          <w:sz w:val="24"/>
        </w:rPr>
        <w:t>CO2</w:t>
      </w:r>
      <w:r w:rsidRPr="004D1F9A">
        <w:rPr>
          <w:rFonts w:hint="eastAsia"/>
          <w:sz w:val="24"/>
        </w:rPr>
        <w:t>波长计测试泵浦源波长及输出功率。</w:t>
      </w:r>
    </w:p>
    <w:p w:rsidR="00D638BB" w:rsidRPr="004D1F9A" w:rsidRDefault="00D638BB" w:rsidP="00D638BB">
      <w:pPr>
        <w:tabs>
          <w:tab w:val="left" w:pos="851"/>
        </w:tabs>
        <w:spacing w:beforeLines="50" w:before="156" w:line="360" w:lineRule="auto"/>
        <w:rPr>
          <w:rFonts w:hint="eastAsia"/>
          <w:sz w:val="24"/>
        </w:rPr>
      </w:pPr>
      <w:r w:rsidRPr="004D1F9A">
        <w:rPr>
          <w:rFonts w:hint="eastAsia"/>
          <w:sz w:val="24"/>
        </w:rPr>
        <w:t>（</w:t>
      </w:r>
      <w:r w:rsidRPr="004D1F9A">
        <w:rPr>
          <w:rFonts w:hint="eastAsia"/>
          <w:sz w:val="24"/>
        </w:rPr>
        <w:t>5</w:t>
      </w:r>
      <w:r w:rsidRPr="004D1F9A">
        <w:rPr>
          <w:rFonts w:hint="eastAsia"/>
          <w:sz w:val="24"/>
        </w:rPr>
        <w:t>）使用太赫兹功率计（型号</w:t>
      </w:r>
      <w:r w:rsidRPr="004D1F9A">
        <w:rPr>
          <w:rFonts w:hint="eastAsia"/>
          <w:sz w:val="24"/>
        </w:rPr>
        <w:t>Vega 3A-P-THz</w:t>
      </w:r>
      <w:r w:rsidRPr="004D1F9A">
        <w:rPr>
          <w:rFonts w:hint="eastAsia"/>
          <w:sz w:val="24"/>
        </w:rPr>
        <w:t>）进行测试，并提供</w:t>
      </w:r>
      <w:r w:rsidRPr="004D1F9A">
        <w:rPr>
          <w:rFonts w:hint="eastAsia"/>
          <w:sz w:val="24"/>
        </w:rPr>
        <w:t>24</w:t>
      </w:r>
      <w:r w:rsidRPr="004D1F9A">
        <w:rPr>
          <w:rFonts w:hint="eastAsia"/>
          <w:sz w:val="24"/>
        </w:rPr>
        <w:t>小时连续运行测试报告。</w:t>
      </w:r>
    </w:p>
    <w:p w:rsidR="00D638BB" w:rsidRPr="005A4701" w:rsidRDefault="00D638BB" w:rsidP="00D638BB">
      <w:pPr>
        <w:tabs>
          <w:tab w:val="left" w:pos="851"/>
        </w:tabs>
        <w:spacing w:beforeLines="50" w:before="156" w:line="360" w:lineRule="auto"/>
        <w:rPr>
          <w:rFonts w:hint="eastAsia"/>
          <w:sz w:val="24"/>
        </w:rPr>
      </w:pPr>
      <w:r w:rsidRPr="004D1F9A">
        <w:rPr>
          <w:rFonts w:hint="eastAsia"/>
          <w:sz w:val="24"/>
        </w:rPr>
        <w:t>（</w:t>
      </w:r>
      <w:r>
        <w:rPr>
          <w:rFonts w:hint="eastAsia"/>
          <w:sz w:val="24"/>
        </w:rPr>
        <w:t>6</w:t>
      </w:r>
      <w:r w:rsidRPr="004D1F9A">
        <w:rPr>
          <w:rFonts w:hint="eastAsia"/>
          <w:sz w:val="24"/>
        </w:rPr>
        <w:t>）使用偏振片和场效应管探测器测试</w:t>
      </w:r>
      <w:r w:rsidRPr="004D1F9A">
        <w:rPr>
          <w:rFonts w:ascii="宋体" w:hAnsi="宋体" w:cs="黑体" w:hint="eastAsia"/>
          <w:sz w:val="24"/>
        </w:rPr>
        <w:t>线偏振输出和远场特性</w:t>
      </w:r>
      <w:r w:rsidRPr="004D1F9A">
        <w:rPr>
          <w:rFonts w:hint="eastAsia"/>
          <w:sz w:val="24"/>
        </w:rPr>
        <w:t>。</w:t>
      </w:r>
    </w:p>
    <w:p w:rsidR="00D638BB" w:rsidRDefault="00D638BB" w:rsidP="00D638BB">
      <w:r w:rsidRPr="004D1F9A">
        <w:rPr>
          <w:rFonts w:hint="eastAsia"/>
          <w:sz w:val="24"/>
        </w:rPr>
        <w:t>（</w:t>
      </w:r>
      <w:r>
        <w:rPr>
          <w:rFonts w:hint="eastAsia"/>
          <w:sz w:val="24"/>
        </w:rPr>
        <w:t>7</w:t>
      </w:r>
      <w:r w:rsidRPr="004D1F9A">
        <w:rPr>
          <w:rFonts w:hint="eastAsia"/>
          <w:sz w:val="24"/>
        </w:rPr>
        <w:t>）</w:t>
      </w:r>
      <w:r>
        <w:rPr>
          <w:rFonts w:hint="eastAsia"/>
          <w:sz w:val="24"/>
        </w:rPr>
        <w:t>提供以</w:t>
      </w:r>
      <w:r>
        <w:rPr>
          <w:rFonts w:hint="eastAsia"/>
          <w:sz w:val="24"/>
        </w:rPr>
        <w:t>2.52THz</w:t>
      </w:r>
      <w:r>
        <w:rPr>
          <w:rFonts w:hint="eastAsia"/>
          <w:sz w:val="24"/>
        </w:rPr>
        <w:t>光泵激光器为光源的偏振干涉仪系统光学设计图纸。</w:t>
      </w:r>
      <w:bookmarkStart w:id="7" w:name="_GoBack"/>
      <w:bookmarkEnd w:id="7"/>
    </w:p>
    <w:sectPr w:rsidR="00D6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BB"/>
    <w:rsid w:val="00D6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F254-998D-42D2-AB71-C2889E58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8B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638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D638BB"/>
    <w:rPr>
      <w:rFonts w:ascii="Times New Roman" w:eastAsia="宋体" w:hAnsi="Times New Roman" w:cs="Times New Roman"/>
      <w:b/>
      <w:bCs/>
      <w:kern w:val="44"/>
      <w:sz w:val="44"/>
      <w:szCs w:val="44"/>
    </w:rPr>
  </w:style>
  <w:style w:type="character" w:customStyle="1" w:styleId="1Char">
    <w:name w:val="标题 1 Char"/>
    <w:link w:val="1"/>
    <w:uiPriority w:val="9"/>
    <w:qFormat/>
    <w:rsid w:val="00D638B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2025-05-19T07:38:00Z</dcterms:created>
  <dcterms:modified xsi:type="dcterms:W3CDTF">2025-05-19T07:38:00Z</dcterms:modified>
</cp:coreProperties>
</file>