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76D" w:rsidRPr="0021227C" w:rsidRDefault="0047376D" w:rsidP="0047376D">
      <w:pPr>
        <w:pStyle w:val="1"/>
        <w:widowControl/>
        <w:snapToGrid w:val="0"/>
        <w:spacing w:before="0" w:after="0" w:line="360" w:lineRule="auto"/>
        <w:jc w:val="center"/>
        <w:rPr>
          <w:rFonts w:ascii="宋体" w:hAnsi="宋体" w:hint="eastAsia"/>
        </w:rPr>
      </w:pPr>
      <w:r w:rsidRPr="0021227C">
        <w:rPr>
          <w:rFonts w:ascii="宋体" w:hAnsi="宋体" w:hint="eastAsia"/>
        </w:rPr>
        <w:t>采购需求及技术规格要求</w:t>
      </w:r>
    </w:p>
    <w:p w:rsidR="0047376D" w:rsidRPr="0021227C" w:rsidRDefault="0047376D" w:rsidP="0047376D">
      <w:pPr>
        <w:numPr>
          <w:ilvl w:val="0"/>
          <w:numId w:val="1"/>
        </w:numPr>
        <w:adjustRightInd w:val="0"/>
        <w:snapToGrid w:val="0"/>
        <w:spacing w:beforeLines="50" w:before="156" w:line="360" w:lineRule="auto"/>
        <w:rPr>
          <w:rFonts w:ascii="宋体" w:hAnsi="宋体" w:hint="eastAsia"/>
          <w:b/>
          <w:sz w:val="24"/>
        </w:rPr>
      </w:pPr>
      <w:bookmarkStart w:id="0" w:name="_Hlk60938700"/>
      <w:r w:rsidRPr="0021227C">
        <w:rPr>
          <w:rFonts w:ascii="宋体" w:hAnsi="宋体"/>
          <w:b/>
          <w:sz w:val="24"/>
        </w:rPr>
        <w:t>货物需求一览表</w:t>
      </w:r>
    </w:p>
    <w:tbl>
      <w:tblPr>
        <w:tblW w:w="6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4327"/>
        <w:gridCol w:w="850"/>
      </w:tblGrid>
      <w:tr w:rsidR="0047376D" w:rsidRPr="0021227C" w:rsidTr="00CB2E98">
        <w:trPr>
          <w:trHeight w:val="354"/>
          <w:jc w:val="center"/>
        </w:trPr>
        <w:tc>
          <w:tcPr>
            <w:tcW w:w="876" w:type="dxa"/>
            <w:vAlign w:val="center"/>
          </w:tcPr>
          <w:p w:rsidR="0047376D" w:rsidRPr="0021227C" w:rsidRDefault="0047376D" w:rsidP="00CB2E98">
            <w:pPr>
              <w:adjustRightInd w:val="0"/>
              <w:snapToGrid w:val="0"/>
              <w:jc w:val="center"/>
              <w:rPr>
                <w:rFonts w:ascii="宋体" w:hAnsi="宋体"/>
                <w:szCs w:val="21"/>
              </w:rPr>
            </w:pPr>
            <w:r w:rsidRPr="0021227C">
              <w:rPr>
                <w:rFonts w:ascii="宋体" w:hAnsi="宋体" w:hint="eastAsia"/>
                <w:szCs w:val="21"/>
              </w:rPr>
              <w:t>序号</w:t>
            </w:r>
          </w:p>
        </w:tc>
        <w:tc>
          <w:tcPr>
            <w:tcW w:w="4327" w:type="dxa"/>
            <w:vAlign w:val="center"/>
          </w:tcPr>
          <w:p w:rsidR="0047376D" w:rsidRPr="0021227C" w:rsidRDefault="0047376D" w:rsidP="00CB2E98">
            <w:pPr>
              <w:adjustRightInd w:val="0"/>
              <w:snapToGrid w:val="0"/>
              <w:jc w:val="center"/>
              <w:rPr>
                <w:rFonts w:ascii="宋体" w:hAnsi="宋体"/>
                <w:szCs w:val="21"/>
              </w:rPr>
            </w:pPr>
            <w:r w:rsidRPr="0021227C">
              <w:rPr>
                <w:rFonts w:ascii="宋体" w:hAnsi="宋体" w:hint="eastAsia"/>
                <w:szCs w:val="21"/>
              </w:rPr>
              <w:t>货物名称</w:t>
            </w:r>
          </w:p>
        </w:tc>
        <w:tc>
          <w:tcPr>
            <w:tcW w:w="850" w:type="dxa"/>
            <w:vAlign w:val="center"/>
          </w:tcPr>
          <w:p w:rsidR="0047376D" w:rsidRPr="0021227C" w:rsidRDefault="0047376D" w:rsidP="00CB2E98">
            <w:pPr>
              <w:adjustRightInd w:val="0"/>
              <w:snapToGrid w:val="0"/>
              <w:jc w:val="center"/>
              <w:rPr>
                <w:rFonts w:ascii="宋体" w:hAnsi="宋体"/>
                <w:szCs w:val="21"/>
              </w:rPr>
            </w:pPr>
            <w:r w:rsidRPr="0021227C">
              <w:rPr>
                <w:rFonts w:ascii="宋体" w:hAnsi="宋体" w:hint="eastAsia"/>
                <w:szCs w:val="21"/>
              </w:rPr>
              <w:t>数量</w:t>
            </w:r>
          </w:p>
        </w:tc>
      </w:tr>
      <w:tr w:rsidR="0047376D" w:rsidRPr="0021227C" w:rsidTr="00CB2E98">
        <w:trPr>
          <w:trHeight w:val="425"/>
          <w:jc w:val="center"/>
        </w:trPr>
        <w:tc>
          <w:tcPr>
            <w:tcW w:w="876" w:type="dxa"/>
            <w:vAlign w:val="center"/>
          </w:tcPr>
          <w:p w:rsidR="0047376D" w:rsidRPr="0021227C" w:rsidRDefault="0047376D" w:rsidP="00CB2E98">
            <w:pPr>
              <w:adjustRightInd w:val="0"/>
              <w:snapToGrid w:val="0"/>
              <w:jc w:val="center"/>
              <w:rPr>
                <w:rFonts w:ascii="宋体" w:hAnsi="宋体"/>
                <w:szCs w:val="21"/>
              </w:rPr>
            </w:pPr>
            <w:r w:rsidRPr="0021227C">
              <w:rPr>
                <w:rFonts w:ascii="宋体" w:hAnsi="宋体" w:hint="eastAsia"/>
                <w:szCs w:val="21"/>
              </w:rPr>
              <w:t>1</w:t>
            </w:r>
          </w:p>
        </w:tc>
        <w:tc>
          <w:tcPr>
            <w:tcW w:w="4327" w:type="dxa"/>
            <w:vAlign w:val="center"/>
          </w:tcPr>
          <w:p w:rsidR="0047376D" w:rsidRPr="0021227C" w:rsidRDefault="0047376D" w:rsidP="00CB2E98">
            <w:pPr>
              <w:adjustRightInd w:val="0"/>
              <w:snapToGrid w:val="0"/>
              <w:jc w:val="center"/>
              <w:rPr>
                <w:rFonts w:ascii="宋体" w:hAnsi="宋体"/>
                <w:szCs w:val="21"/>
              </w:rPr>
            </w:pPr>
            <w:bookmarkStart w:id="1" w:name="_Hlk195608448"/>
            <w:r w:rsidRPr="0021227C">
              <w:rPr>
                <w:rFonts w:ascii="宋体" w:hAnsi="宋体" w:hint="eastAsia"/>
                <w:szCs w:val="21"/>
              </w:rPr>
              <w:t>诊断系统万级洁净室</w:t>
            </w:r>
            <w:bookmarkEnd w:id="1"/>
          </w:p>
        </w:tc>
        <w:tc>
          <w:tcPr>
            <w:tcW w:w="850" w:type="dxa"/>
            <w:vAlign w:val="center"/>
          </w:tcPr>
          <w:p w:rsidR="0047376D" w:rsidRPr="0021227C" w:rsidRDefault="0047376D" w:rsidP="00CB2E98">
            <w:pPr>
              <w:adjustRightInd w:val="0"/>
              <w:snapToGrid w:val="0"/>
              <w:jc w:val="center"/>
              <w:rPr>
                <w:rFonts w:ascii="宋体" w:hAnsi="宋体"/>
                <w:szCs w:val="21"/>
              </w:rPr>
            </w:pPr>
            <w:r w:rsidRPr="0021227C">
              <w:rPr>
                <w:rFonts w:ascii="宋体" w:hAnsi="宋体" w:hint="eastAsia"/>
                <w:szCs w:val="21"/>
              </w:rPr>
              <w:t>1套</w:t>
            </w:r>
          </w:p>
        </w:tc>
      </w:tr>
    </w:tbl>
    <w:p w:rsidR="0047376D" w:rsidRPr="0021227C" w:rsidRDefault="0047376D" w:rsidP="0047376D">
      <w:pPr>
        <w:numPr>
          <w:ilvl w:val="0"/>
          <w:numId w:val="1"/>
        </w:numPr>
        <w:adjustRightInd w:val="0"/>
        <w:snapToGrid w:val="0"/>
        <w:spacing w:beforeLines="50" w:before="156" w:line="360" w:lineRule="auto"/>
        <w:rPr>
          <w:rFonts w:ascii="宋体" w:hAnsi="宋体" w:hint="eastAsia"/>
          <w:b/>
          <w:sz w:val="24"/>
        </w:rPr>
      </w:pPr>
      <w:bookmarkStart w:id="2" w:name="_Toc532807472"/>
      <w:bookmarkStart w:id="3" w:name="_Toc257021215"/>
      <w:bookmarkStart w:id="4" w:name="_Toc30409514"/>
      <w:bookmarkStart w:id="5" w:name="_Toc12010788"/>
      <w:bookmarkStart w:id="6" w:name="_Toc509153917"/>
      <w:bookmarkStart w:id="7" w:name="_Toc12010815"/>
      <w:r w:rsidRPr="0021227C">
        <w:rPr>
          <w:rFonts w:ascii="宋体" w:hAnsi="宋体"/>
          <w:b/>
          <w:sz w:val="24"/>
        </w:rPr>
        <w:t>工程技术要求</w:t>
      </w:r>
      <w:bookmarkEnd w:id="2"/>
      <w:bookmarkEnd w:id="3"/>
      <w:bookmarkEnd w:id="4"/>
      <w:bookmarkEnd w:id="5"/>
      <w:bookmarkEnd w:id="6"/>
      <w:bookmarkEnd w:id="7"/>
    </w:p>
    <w:p w:rsidR="0047376D" w:rsidRPr="0021227C" w:rsidRDefault="0047376D" w:rsidP="0047376D">
      <w:pPr>
        <w:adjustRightInd w:val="0"/>
        <w:snapToGrid w:val="0"/>
        <w:spacing w:beforeLines="50" w:before="156" w:line="360" w:lineRule="auto"/>
        <w:ind w:firstLineChars="100" w:firstLine="241"/>
        <w:rPr>
          <w:rFonts w:ascii="宋体" w:hAnsi="宋体"/>
          <w:b/>
          <w:sz w:val="24"/>
        </w:rPr>
      </w:pPr>
      <w:r w:rsidRPr="0021227C">
        <w:rPr>
          <w:rFonts w:ascii="宋体" w:hAnsi="宋体"/>
          <w:b/>
          <w:sz w:val="24"/>
        </w:rPr>
        <w:t>2.</w:t>
      </w:r>
      <w:r w:rsidRPr="0021227C">
        <w:rPr>
          <w:rFonts w:ascii="宋体" w:hAnsi="宋体" w:hint="eastAsia"/>
          <w:b/>
          <w:sz w:val="24"/>
        </w:rPr>
        <w:t>1、</w:t>
      </w:r>
      <w:r w:rsidRPr="0021227C">
        <w:rPr>
          <w:rFonts w:ascii="宋体" w:hAnsi="宋体"/>
          <w:b/>
          <w:sz w:val="24"/>
        </w:rPr>
        <w:t>设备的主要用途及功能</w:t>
      </w:r>
    </w:p>
    <w:p w:rsidR="0047376D" w:rsidRPr="0021227C" w:rsidRDefault="0047376D" w:rsidP="0047376D">
      <w:pPr>
        <w:pStyle w:val="a3"/>
        <w:spacing w:before="210" w:after="210" w:line="360" w:lineRule="auto"/>
        <w:ind w:firstLine="480"/>
        <w:rPr>
          <w:rFonts w:hint="eastAsia"/>
          <w:color w:val="auto"/>
          <w:kern w:val="2"/>
        </w:rPr>
      </w:pPr>
      <w:r w:rsidRPr="0021227C">
        <w:rPr>
          <w:rFonts w:hint="eastAsia"/>
          <w:color w:val="auto"/>
          <w:kern w:val="2"/>
        </w:rPr>
        <w:t>万级洁净室可以保证各类诊断测量系统长时间稳定运行，为等离子体装置提供可靠的诊断实时测量及数据处理，在EAST装置上各类诊断实验中已经采用，得到了验证。洁净度和恒温恒湿是保证测量设备和大型激光器测量的必要条件，它影响着整个诊断各类测量系统的精度，对电磁辐射的有效控制可以提高诊断各个系统电磁干扰屏蔽能力，万级实验室能有效减少空气中的微粒，防止电子元器件受损，确保测试数据结果准确性和稳定性。为装置提供可靠的诊断实时测量及数据处理，故需要万级洁净间系统来保证诊断系统测量精度和系统稳定性</w:t>
      </w:r>
    </w:p>
    <w:p w:rsidR="0047376D" w:rsidRPr="0021227C" w:rsidRDefault="0047376D" w:rsidP="0047376D">
      <w:pPr>
        <w:adjustRightInd w:val="0"/>
        <w:snapToGrid w:val="0"/>
        <w:spacing w:beforeLines="50" w:before="156" w:line="360" w:lineRule="auto"/>
        <w:ind w:firstLineChars="100" w:firstLine="241"/>
        <w:rPr>
          <w:rFonts w:ascii="宋体" w:hAnsi="宋体"/>
          <w:b/>
          <w:sz w:val="24"/>
        </w:rPr>
      </w:pPr>
      <w:r w:rsidRPr="0021227C">
        <w:rPr>
          <w:rFonts w:ascii="宋体" w:hAnsi="宋体"/>
          <w:b/>
          <w:sz w:val="24"/>
        </w:rPr>
        <w:t>2.</w:t>
      </w:r>
      <w:r w:rsidRPr="0021227C">
        <w:rPr>
          <w:rFonts w:ascii="宋体" w:hAnsi="宋体" w:hint="eastAsia"/>
          <w:b/>
          <w:sz w:val="24"/>
        </w:rPr>
        <w:t xml:space="preserve">2、 </w:t>
      </w:r>
      <w:r w:rsidRPr="0021227C">
        <w:rPr>
          <w:rFonts w:ascii="宋体" w:hAnsi="宋体"/>
          <w:b/>
          <w:sz w:val="24"/>
        </w:rPr>
        <w:t>工作条件</w:t>
      </w:r>
    </w:p>
    <w:p w:rsidR="0047376D" w:rsidRPr="0021227C" w:rsidRDefault="0047376D" w:rsidP="0047376D">
      <w:pPr>
        <w:numPr>
          <w:ilvl w:val="0"/>
          <w:numId w:val="2"/>
        </w:numPr>
        <w:adjustRightInd w:val="0"/>
        <w:snapToGrid w:val="0"/>
        <w:spacing w:beforeLines="50" w:before="156" w:line="360" w:lineRule="auto"/>
        <w:rPr>
          <w:rFonts w:ascii="宋体" w:hAnsi="宋体" w:hint="eastAsia"/>
          <w:sz w:val="24"/>
        </w:rPr>
      </w:pPr>
      <w:bookmarkStart w:id="8" w:name="OLE_LINK26"/>
      <w:bookmarkStart w:id="9" w:name="OLE_LINK27"/>
      <w:r w:rsidRPr="0021227C">
        <w:rPr>
          <w:rFonts w:ascii="宋体" w:hAnsi="宋体" w:hint="eastAsia"/>
          <w:sz w:val="24"/>
        </w:rPr>
        <w:t>诊断系统万级洁净室</w:t>
      </w:r>
      <w:bookmarkEnd w:id="8"/>
      <w:bookmarkEnd w:id="9"/>
      <w:r w:rsidRPr="0021227C">
        <w:rPr>
          <w:rFonts w:ascii="宋体" w:hAnsi="宋体" w:hint="eastAsia"/>
          <w:sz w:val="24"/>
        </w:rPr>
        <w:t>位置示意图如下图1所示；</w:t>
      </w:r>
    </w:p>
    <w:p w:rsidR="0047376D" w:rsidRPr="0021227C" w:rsidRDefault="0047376D" w:rsidP="0047376D">
      <w:pPr>
        <w:adjustRightInd w:val="0"/>
        <w:snapToGrid w:val="0"/>
        <w:spacing w:beforeLines="50" w:before="156" w:line="360" w:lineRule="auto"/>
        <w:ind w:left="240"/>
        <w:rPr>
          <w:rFonts w:ascii="宋体" w:hAnsi="宋体" w:hint="eastAsia"/>
          <w:sz w:val="24"/>
        </w:rPr>
      </w:pPr>
      <w:r w:rsidRPr="0021227C">
        <w:rPr>
          <w:rFonts w:ascii="宋体" w:hAnsi="宋体" w:hint="eastAsia"/>
          <w:noProof/>
          <w:sz w:val="24"/>
        </w:rPr>
        <w:lastRenderedPageBreak/>
        <w:drawing>
          <wp:inline distT="0" distB="0" distL="0" distR="0">
            <wp:extent cx="5274310" cy="3161665"/>
            <wp:effectExtent l="0" t="0" r="2540" b="635"/>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161665"/>
                    </a:xfrm>
                    <a:prstGeom prst="rect">
                      <a:avLst/>
                    </a:prstGeom>
                    <a:noFill/>
                    <a:ln>
                      <a:noFill/>
                    </a:ln>
                    <a:effectLst/>
                  </pic:spPr>
                </pic:pic>
              </a:graphicData>
            </a:graphic>
          </wp:inline>
        </w:drawing>
      </w:r>
    </w:p>
    <w:p w:rsidR="0047376D" w:rsidRPr="0021227C" w:rsidRDefault="0047376D" w:rsidP="0047376D">
      <w:pPr>
        <w:adjustRightInd w:val="0"/>
        <w:snapToGrid w:val="0"/>
        <w:spacing w:beforeLines="50" w:before="156" w:line="360" w:lineRule="auto"/>
        <w:ind w:left="240"/>
        <w:rPr>
          <w:rFonts w:ascii="宋体" w:hAnsi="宋体" w:hint="eastAsia"/>
          <w:sz w:val="24"/>
        </w:rPr>
      </w:pPr>
    </w:p>
    <w:p w:rsidR="0047376D" w:rsidRPr="0021227C" w:rsidRDefault="0047376D" w:rsidP="0047376D">
      <w:pPr>
        <w:adjustRightInd w:val="0"/>
        <w:snapToGrid w:val="0"/>
        <w:spacing w:beforeLines="50" w:before="156" w:line="360" w:lineRule="auto"/>
        <w:ind w:left="240"/>
        <w:rPr>
          <w:rFonts w:ascii="宋体" w:hAnsi="宋体" w:hint="eastAsia"/>
          <w:sz w:val="24"/>
        </w:rPr>
      </w:pPr>
    </w:p>
    <w:p w:rsidR="0047376D" w:rsidRPr="0021227C" w:rsidRDefault="0047376D" w:rsidP="0047376D">
      <w:pPr>
        <w:adjustRightInd w:val="0"/>
        <w:snapToGrid w:val="0"/>
        <w:spacing w:beforeLines="50" w:before="156" w:line="360" w:lineRule="auto"/>
        <w:ind w:left="240"/>
        <w:rPr>
          <w:rFonts w:ascii="宋体" w:hAnsi="宋体"/>
          <w:sz w:val="24"/>
        </w:rPr>
      </w:pPr>
    </w:p>
    <w:p w:rsidR="0047376D" w:rsidRPr="0021227C" w:rsidRDefault="0047376D" w:rsidP="0047376D">
      <w:pPr>
        <w:numPr>
          <w:ilvl w:val="0"/>
          <w:numId w:val="2"/>
        </w:numPr>
        <w:adjustRightInd w:val="0"/>
        <w:snapToGrid w:val="0"/>
        <w:spacing w:beforeLines="50" w:before="156" w:line="360" w:lineRule="auto"/>
        <w:ind w:leftChars="200" w:left="840"/>
        <w:rPr>
          <w:rFonts w:ascii="宋体" w:hAnsi="宋体"/>
          <w:sz w:val="24"/>
        </w:rPr>
      </w:pPr>
      <w:bookmarkStart w:id="10" w:name="OLE_LINK39"/>
      <w:bookmarkStart w:id="11" w:name="OLE_LINK29"/>
      <w:bookmarkStart w:id="12" w:name="OLE_LINK30"/>
      <w:bookmarkStart w:id="13" w:name="OLE_LINK38"/>
      <w:bookmarkStart w:id="14" w:name="OLE_LINK28"/>
      <w:r w:rsidRPr="0021227C">
        <w:rPr>
          <w:rFonts w:ascii="宋体" w:hAnsi="宋体" w:hint="eastAsia"/>
          <w:sz w:val="24"/>
        </w:rPr>
        <w:t>诊断系统万级洁净室</w:t>
      </w:r>
      <w:bookmarkEnd w:id="10"/>
      <w:bookmarkEnd w:id="11"/>
      <w:bookmarkEnd w:id="12"/>
      <w:bookmarkEnd w:id="13"/>
      <w:bookmarkEnd w:id="14"/>
      <w:r w:rsidRPr="0021227C">
        <w:rPr>
          <w:rFonts w:ascii="宋体" w:hAnsi="宋体" w:hint="eastAsia"/>
          <w:sz w:val="24"/>
        </w:rPr>
        <w:t>位于等离子体物理研究所南楼，有一台15吨行车，洁净间建设不允许遮挡或影响行车使用，车间内建筑净空高度13.5m,原建筑不允许挂载任何吊具吊杆，不允许负载承重；</w:t>
      </w:r>
    </w:p>
    <w:p w:rsidR="0047376D" w:rsidRPr="0021227C" w:rsidRDefault="0047376D" w:rsidP="0047376D">
      <w:pPr>
        <w:numPr>
          <w:ilvl w:val="0"/>
          <w:numId w:val="2"/>
        </w:numPr>
        <w:adjustRightInd w:val="0"/>
        <w:snapToGrid w:val="0"/>
        <w:spacing w:beforeLines="50" w:before="156" w:line="360" w:lineRule="auto"/>
        <w:rPr>
          <w:rFonts w:ascii="宋体" w:hAnsi="宋体" w:hint="eastAsia"/>
          <w:sz w:val="24"/>
        </w:rPr>
      </w:pPr>
      <w:r w:rsidRPr="0021227C">
        <w:rPr>
          <w:rFonts w:ascii="宋体" w:hAnsi="宋体" w:hint="eastAsia"/>
          <w:sz w:val="24"/>
        </w:rPr>
        <w:t>现场设备目前其他设施设备未安装，本次项目内容包含原建筑结构墙面以及顶面破损污染的区域翻新装饰，</w:t>
      </w:r>
      <w:proofErr w:type="gramStart"/>
      <w:r w:rsidRPr="0021227C">
        <w:rPr>
          <w:rFonts w:ascii="宋体" w:hAnsi="宋体" w:hint="eastAsia"/>
          <w:sz w:val="24"/>
        </w:rPr>
        <w:t>现环氧</w:t>
      </w:r>
      <w:proofErr w:type="gramEnd"/>
      <w:r w:rsidRPr="0021227C">
        <w:rPr>
          <w:rFonts w:ascii="宋体" w:hAnsi="宋体" w:hint="eastAsia"/>
          <w:sz w:val="24"/>
        </w:rPr>
        <w:t>地坪有较多损坏的地方，</w:t>
      </w:r>
      <w:bookmarkStart w:id="15" w:name="OLE_LINK40"/>
      <w:r w:rsidRPr="0021227C">
        <w:rPr>
          <w:rFonts w:ascii="宋体" w:hAnsi="宋体" w:hint="eastAsia"/>
          <w:sz w:val="24"/>
        </w:rPr>
        <w:t>需对环氧地坪整体打磨重新施工，如下图所示，对其它设施设备进行区域划分地面标线分区处理。</w:t>
      </w:r>
      <w:bookmarkEnd w:id="15"/>
    </w:p>
    <w:p w:rsidR="0047376D" w:rsidRPr="0021227C" w:rsidRDefault="0047376D" w:rsidP="0047376D">
      <w:pPr>
        <w:adjustRightInd w:val="0"/>
        <w:snapToGrid w:val="0"/>
        <w:spacing w:beforeLines="50" w:before="156" w:line="360" w:lineRule="auto"/>
        <w:ind w:left="240"/>
        <w:rPr>
          <w:rFonts w:ascii="宋体" w:hAnsi="宋体" w:hint="eastAsia"/>
          <w:sz w:val="24"/>
        </w:rPr>
      </w:pPr>
      <w:r w:rsidRPr="0021227C">
        <w:rPr>
          <w:rFonts w:ascii="宋体" w:hAnsi="宋体" w:hint="eastAsia"/>
          <w:noProof/>
          <w:sz w:val="24"/>
        </w:rPr>
        <w:drawing>
          <wp:inline distT="0" distB="0" distL="0" distR="0">
            <wp:extent cx="5274310" cy="274764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747645"/>
                    </a:xfrm>
                    <a:prstGeom prst="rect">
                      <a:avLst/>
                    </a:prstGeom>
                    <a:noFill/>
                    <a:ln>
                      <a:noFill/>
                    </a:ln>
                  </pic:spPr>
                </pic:pic>
              </a:graphicData>
            </a:graphic>
          </wp:inline>
        </w:drawing>
      </w:r>
    </w:p>
    <w:p w:rsidR="0047376D" w:rsidRPr="0021227C" w:rsidRDefault="0047376D" w:rsidP="0047376D">
      <w:pPr>
        <w:adjustRightInd w:val="0"/>
        <w:snapToGrid w:val="0"/>
        <w:spacing w:beforeLines="50" w:before="156" w:line="360" w:lineRule="auto"/>
        <w:ind w:firstLineChars="100" w:firstLine="241"/>
        <w:rPr>
          <w:rFonts w:ascii="宋体" w:hAnsi="宋体"/>
          <w:b/>
          <w:sz w:val="24"/>
        </w:rPr>
      </w:pPr>
      <w:r w:rsidRPr="0021227C">
        <w:rPr>
          <w:rFonts w:ascii="宋体" w:hAnsi="宋体"/>
          <w:b/>
          <w:sz w:val="24"/>
        </w:rPr>
        <w:t>2.</w:t>
      </w:r>
      <w:r w:rsidRPr="0021227C">
        <w:rPr>
          <w:rFonts w:ascii="宋体" w:hAnsi="宋体" w:hint="eastAsia"/>
          <w:b/>
          <w:sz w:val="24"/>
        </w:rPr>
        <w:t>3、</w:t>
      </w:r>
      <w:r w:rsidRPr="0021227C">
        <w:rPr>
          <w:rFonts w:ascii="宋体" w:hAnsi="宋体"/>
          <w:b/>
          <w:sz w:val="24"/>
        </w:rPr>
        <w:t xml:space="preserve"> 技术性能指标要求</w:t>
      </w:r>
    </w:p>
    <w:p w:rsidR="0047376D" w:rsidRPr="0021227C" w:rsidRDefault="0047376D" w:rsidP="0047376D">
      <w:pPr>
        <w:numPr>
          <w:ilvl w:val="0"/>
          <w:numId w:val="3"/>
        </w:numPr>
        <w:adjustRightInd w:val="0"/>
        <w:snapToGrid w:val="0"/>
        <w:spacing w:beforeLines="50" w:before="156" w:line="360" w:lineRule="auto"/>
        <w:rPr>
          <w:rFonts w:ascii="宋体" w:hAnsi="宋体" w:hint="eastAsia"/>
          <w:sz w:val="24"/>
          <w:szCs w:val="21"/>
        </w:rPr>
      </w:pPr>
      <w:r w:rsidRPr="0021227C">
        <w:rPr>
          <w:rFonts w:ascii="宋体" w:hAnsi="宋体" w:hint="eastAsia"/>
          <w:sz w:val="24"/>
        </w:rPr>
        <w:t>总体技术要求</w:t>
      </w:r>
    </w:p>
    <w:p w:rsidR="0047376D" w:rsidRPr="0021227C" w:rsidRDefault="0047376D" w:rsidP="0047376D">
      <w:pPr>
        <w:numPr>
          <w:ilvl w:val="0"/>
          <w:numId w:val="4"/>
        </w:numPr>
        <w:adjustRightInd w:val="0"/>
        <w:snapToGrid w:val="0"/>
        <w:spacing w:beforeLines="50" w:before="156" w:line="360" w:lineRule="auto"/>
        <w:rPr>
          <w:rFonts w:ascii="宋体" w:hAnsi="宋体" w:hint="eastAsia"/>
          <w:sz w:val="24"/>
          <w:szCs w:val="21"/>
        </w:rPr>
      </w:pPr>
      <w:r w:rsidRPr="0021227C">
        <w:rPr>
          <w:rFonts w:ascii="宋体" w:hAnsi="宋体" w:hint="eastAsia"/>
          <w:sz w:val="24"/>
          <w:szCs w:val="21"/>
        </w:rPr>
        <w:t>施工区域厂房内总使用面积约1000平方米，</w:t>
      </w:r>
      <w:bookmarkStart w:id="16" w:name="OLE_LINK32"/>
      <w:bookmarkStart w:id="17" w:name="OLE_LINK31"/>
      <w:r w:rsidRPr="0021227C">
        <w:rPr>
          <w:rFonts w:ascii="宋体" w:hAnsi="宋体" w:hint="eastAsia"/>
          <w:sz w:val="24"/>
        </w:rPr>
        <w:t>诊断系统万级洁净室</w:t>
      </w:r>
      <w:r w:rsidRPr="0021227C">
        <w:rPr>
          <w:rFonts w:ascii="宋体" w:hAnsi="宋体" w:hint="eastAsia"/>
          <w:sz w:val="24"/>
          <w:szCs w:val="21"/>
        </w:rPr>
        <w:t>尺寸45米（长）*8米（宽）*4.5米（净高），</w:t>
      </w:r>
      <w:bookmarkEnd w:id="16"/>
      <w:bookmarkEnd w:id="17"/>
      <w:r w:rsidRPr="0021227C">
        <w:rPr>
          <w:rFonts w:ascii="宋体" w:hAnsi="宋体" w:hint="eastAsia"/>
          <w:sz w:val="24"/>
          <w:szCs w:val="21"/>
        </w:rPr>
        <w:t>如图所示，预留20平方米的微波暗室位置（不做吊顶）。要求按照洁净室常规流程（换鞋</w:t>
      </w:r>
      <w:bookmarkStart w:id="18" w:name="OLE_LINK33"/>
      <w:r w:rsidRPr="0021227C">
        <w:rPr>
          <w:rFonts w:ascii="宋体" w:hAnsi="宋体" w:hint="eastAsia"/>
          <w:sz w:val="24"/>
          <w:szCs w:val="21"/>
        </w:rPr>
        <w:t>→</w:t>
      </w:r>
      <w:bookmarkEnd w:id="18"/>
      <w:r w:rsidRPr="0021227C">
        <w:rPr>
          <w:rFonts w:ascii="宋体" w:hAnsi="宋体" w:hint="eastAsia"/>
          <w:sz w:val="24"/>
          <w:szCs w:val="21"/>
        </w:rPr>
        <w:t>更衣→风淋→洁净室内），两个区域共用更衣风淋系统，进入万级洁净室2需设置气闸间（缓冲兼顾二次更衣）。返回更衣或退出洁净室不允许反向通过风淋室，需单独设置返回通道。</w:t>
      </w:r>
    </w:p>
    <w:p w:rsidR="0047376D" w:rsidRPr="0021227C" w:rsidRDefault="0047376D" w:rsidP="0047376D">
      <w:pPr>
        <w:numPr>
          <w:ilvl w:val="0"/>
          <w:numId w:val="4"/>
        </w:numPr>
        <w:adjustRightInd w:val="0"/>
        <w:snapToGrid w:val="0"/>
        <w:spacing w:beforeLines="50" w:before="156" w:line="360" w:lineRule="auto"/>
        <w:rPr>
          <w:rFonts w:ascii="宋体" w:hAnsi="宋体" w:hint="eastAsia"/>
          <w:sz w:val="24"/>
          <w:szCs w:val="21"/>
        </w:rPr>
      </w:pPr>
      <w:r w:rsidRPr="0021227C">
        <w:rPr>
          <w:rFonts w:ascii="宋体" w:hAnsi="宋体" w:hint="eastAsia"/>
          <w:sz w:val="24"/>
          <w:szCs w:val="21"/>
        </w:rPr>
        <w:t>洁净室需设置动态数据监控系统，</w:t>
      </w:r>
      <w:bookmarkStart w:id="19" w:name="OLE_LINK34"/>
      <w:bookmarkStart w:id="20" w:name="OLE_LINK35"/>
      <w:r w:rsidRPr="0021227C">
        <w:rPr>
          <w:rFonts w:ascii="宋体" w:hAnsi="宋体" w:hint="eastAsia"/>
          <w:sz w:val="24"/>
          <w:szCs w:val="21"/>
        </w:rPr>
        <w:t>在1-2</w:t>
      </w:r>
      <w:proofErr w:type="gramStart"/>
      <w:r w:rsidRPr="0021227C">
        <w:rPr>
          <w:rFonts w:ascii="宋体" w:hAnsi="宋体" w:hint="eastAsia"/>
          <w:sz w:val="24"/>
          <w:szCs w:val="21"/>
        </w:rPr>
        <w:t>轴交</w:t>
      </w:r>
      <w:proofErr w:type="gramEnd"/>
      <w:r w:rsidRPr="0021227C">
        <w:rPr>
          <w:rFonts w:ascii="宋体" w:hAnsi="宋体" w:hint="eastAsia"/>
          <w:sz w:val="24"/>
          <w:szCs w:val="21"/>
        </w:rPr>
        <w:t>A轴位置（如下图）</w:t>
      </w:r>
      <w:bookmarkEnd w:id="19"/>
      <w:bookmarkEnd w:id="20"/>
      <w:r w:rsidRPr="0021227C">
        <w:rPr>
          <w:rFonts w:ascii="宋体" w:hAnsi="宋体" w:hint="eastAsia"/>
          <w:sz w:val="24"/>
          <w:szCs w:val="21"/>
        </w:rPr>
        <w:t>设置大屏幕数据背景墙，实时检测洁净室的参数数据（曲线显示，数据溯源，柱状打印，实时显示）等功能，</w:t>
      </w:r>
      <w:bookmarkStart w:id="21" w:name="OLE_LINK51"/>
      <w:bookmarkStart w:id="22" w:name="OLE_LINK50"/>
      <w:r w:rsidRPr="0021227C">
        <w:rPr>
          <w:rFonts w:ascii="宋体" w:hAnsi="宋体" w:hint="eastAsia"/>
          <w:sz w:val="24"/>
          <w:szCs w:val="21"/>
        </w:rPr>
        <w:t>并且开放数据端口和协议</w:t>
      </w:r>
      <w:bookmarkEnd w:id="21"/>
      <w:bookmarkEnd w:id="22"/>
      <w:r w:rsidRPr="0021227C">
        <w:rPr>
          <w:rFonts w:ascii="宋体" w:hAnsi="宋体" w:hint="eastAsia"/>
          <w:sz w:val="24"/>
          <w:szCs w:val="21"/>
        </w:rPr>
        <w:t>，以备其它设备数据上传显示。实时数据监控系统的软件编写、硬件、框架搭建由施工方提供</w:t>
      </w:r>
    </w:p>
    <w:p w:rsidR="0047376D" w:rsidRPr="0021227C" w:rsidRDefault="0047376D" w:rsidP="0047376D">
      <w:pPr>
        <w:adjustRightInd w:val="0"/>
        <w:snapToGrid w:val="0"/>
        <w:spacing w:beforeLines="50" w:before="156" w:line="360" w:lineRule="auto"/>
        <w:ind w:left="900"/>
        <w:rPr>
          <w:rFonts w:ascii="宋体" w:hAnsi="宋体" w:hint="eastAsia"/>
          <w:sz w:val="24"/>
          <w:szCs w:val="21"/>
        </w:rPr>
      </w:pPr>
      <w:r w:rsidRPr="0021227C">
        <w:rPr>
          <w:rFonts w:ascii="宋体" w:hAnsi="宋体" w:hint="eastAsia"/>
          <w:noProof/>
          <w:sz w:val="24"/>
          <w:szCs w:val="21"/>
        </w:rPr>
        <w:drawing>
          <wp:inline distT="0" distB="0" distL="0" distR="0">
            <wp:extent cx="5274310" cy="1654175"/>
            <wp:effectExtent l="0" t="0" r="254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654175"/>
                    </a:xfrm>
                    <a:prstGeom prst="rect">
                      <a:avLst/>
                    </a:prstGeom>
                    <a:noFill/>
                    <a:ln>
                      <a:noFill/>
                    </a:ln>
                  </pic:spPr>
                </pic:pic>
              </a:graphicData>
            </a:graphic>
          </wp:inline>
        </w:drawing>
      </w:r>
    </w:p>
    <w:p w:rsidR="0047376D" w:rsidRPr="0021227C" w:rsidRDefault="0047376D" w:rsidP="0047376D">
      <w:pPr>
        <w:numPr>
          <w:ilvl w:val="0"/>
          <w:numId w:val="4"/>
        </w:numPr>
        <w:adjustRightInd w:val="0"/>
        <w:snapToGrid w:val="0"/>
        <w:spacing w:beforeLines="50" w:before="156" w:line="360" w:lineRule="auto"/>
        <w:rPr>
          <w:rFonts w:ascii="宋体" w:hAnsi="宋体" w:hint="eastAsia"/>
          <w:sz w:val="24"/>
          <w:szCs w:val="21"/>
        </w:rPr>
      </w:pPr>
      <w:r w:rsidRPr="0021227C">
        <w:rPr>
          <w:rFonts w:ascii="宋体" w:hAnsi="宋体" w:hint="eastAsia"/>
          <w:sz w:val="24"/>
          <w:szCs w:val="21"/>
        </w:rPr>
        <w:t>洁净室预留微波暗室中控室（面积≈8㎡），中控办公室（面积≈15㎡），具体由施工方细化，要求墙体、隔断、地坪材质与洁净室保持一致，具备空调、排风换气、办公用电、网络及电话通讯、照明等常规功能。</w:t>
      </w:r>
    </w:p>
    <w:p w:rsidR="0047376D" w:rsidRPr="0021227C" w:rsidRDefault="0047376D" w:rsidP="0047376D">
      <w:pPr>
        <w:numPr>
          <w:ilvl w:val="0"/>
          <w:numId w:val="4"/>
        </w:numPr>
        <w:adjustRightInd w:val="0"/>
        <w:snapToGrid w:val="0"/>
        <w:spacing w:beforeLines="50" w:before="156" w:line="360" w:lineRule="auto"/>
        <w:rPr>
          <w:rFonts w:ascii="宋体" w:hAnsi="宋体" w:hint="eastAsia"/>
          <w:sz w:val="24"/>
          <w:szCs w:val="21"/>
        </w:rPr>
      </w:pPr>
      <w:r w:rsidRPr="0021227C">
        <w:rPr>
          <w:rFonts w:ascii="宋体" w:hAnsi="宋体" w:hint="eastAsia"/>
          <w:sz w:val="24"/>
          <w:szCs w:val="21"/>
        </w:rPr>
        <w:t>整体厂房内不允许挂载吊杆、吊筋等一切顶面锚固的负载挂件挂架。墙面柱体若有需锚固点需使用化学锚栓固定，地面锚固点使用不锈钢膨胀螺丝固定。厂房外围不允许放置任何辅助设备设施，包括空调室外机。所有辅助设备设施需放置于厂房内且不允许与试验装置干涉，需充分考虑散热、排风换气、</w:t>
      </w:r>
      <w:proofErr w:type="gramStart"/>
      <w:r w:rsidRPr="0021227C">
        <w:rPr>
          <w:rFonts w:ascii="宋体" w:hAnsi="宋体" w:hint="eastAsia"/>
          <w:sz w:val="24"/>
          <w:szCs w:val="21"/>
        </w:rPr>
        <w:t>隔噪隔音</w:t>
      </w:r>
      <w:proofErr w:type="gramEnd"/>
      <w:r w:rsidRPr="0021227C">
        <w:rPr>
          <w:rFonts w:ascii="宋体" w:hAnsi="宋体" w:hint="eastAsia"/>
          <w:sz w:val="24"/>
          <w:szCs w:val="21"/>
        </w:rPr>
        <w:t>等功能。</w:t>
      </w:r>
    </w:p>
    <w:p w:rsidR="0047376D" w:rsidRPr="0021227C" w:rsidRDefault="0047376D" w:rsidP="0047376D">
      <w:pPr>
        <w:numPr>
          <w:ilvl w:val="0"/>
          <w:numId w:val="4"/>
        </w:numPr>
        <w:adjustRightInd w:val="0"/>
        <w:snapToGrid w:val="0"/>
        <w:spacing w:beforeLines="50" w:before="156" w:line="360" w:lineRule="auto"/>
        <w:rPr>
          <w:rFonts w:ascii="宋体" w:hAnsi="宋体" w:hint="eastAsia"/>
          <w:sz w:val="24"/>
          <w:szCs w:val="21"/>
        </w:rPr>
      </w:pPr>
      <w:r w:rsidRPr="0021227C">
        <w:rPr>
          <w:rFonts w:ascii="宋体" w:hAnsi="宋体" w:hint="eastAsia"/>
          <w:sz w:val="24"/>
          <w:szCs w:val="21"/>
        </w:rPr>
        <w:t>厂房内在1-2</w:t>
      </w:r>
      <w:proofErr w:type="gramStart"/>
      <w:r w:rsidRPr="0021227C">
        <w:rPr>
          <w:rFonts w:ascii="宋体" w:hAnsi="宋体" w:hint="eastAsia"/>
          <w:sz w:val="24"/>
          <w:szCs w:val="21"/>
        </w:rPr>
        <w:t>轴交</w:t>
      </w:r>
      <w:proofErr w:type="gramEnd"/>
      <w:r w:rsidRPr="0021227C">
        <w:rPr>
          <w:rFonts w:ascii="宋体" w:hAnsi="宋体" w:hint="eastAsia"/>
          <w:sz w:val="24"/>
          <w:szCs w:val="21"/>
        </w:rPr>
        <w:t>C-D轴位置（如下图）预留区需设置盥洗台</w:t>
      </w:r>
      <w:proofErr w:type="gramStart"/>
      <w:r w:rsidRPr="0021227C">
        <w:rPr>
          <w:rFonts w:ascii="宋体" w:hAnsi="宋体" w:hint="eastAsia"/>
          <w:sz w:val="24"/>
          <w:szCs w:val="21"/>
        </w:rPr>
        <w:t>清洗台</w:t>
      </w:r>
      <w:proofErr w:type="gramEnd"/>
      <w:r w:rsidRPr="0021227C">
        <w:rPr>
          <w:rFonts w:ascii="宋体" w:hAnsi="宋体" w:hint="eastAsia"/>
          <w:sz w:val="24"/>
          <w:szCs w:val="21"/>
        </w:rPr>
        <w:t>以及办公会议台（如下图所示），洗手台盥洗台预留热水插座以及备用插座，办公会议台根据实际尺寸现场确定。</w:t>
      </w:r>
    </w:p>
    <w:p w:rsidR="0047376D" w:rsidRPr="0021227C" w:rsidRDefault="0047376D" w:rsidP="0047376D">
      <w:pPr>
        <w:adjustRightInd w:val="0"/>
        <w:snapToGrid w:val="0"/>
        <w:spacing w:beforeLines="50" w:before="156" w:line="360" w:lineRule="auto"/>
        <w:ind w:left="900"/>
        <w:rPr>
          <w:rFonts w:ascii="宋体" w:hAnsi="宋体" w:hint="eastAsia"/>
          <w:sz w:val="24"/>
          <w:szCs w:val="21"/>
        </w:rPr>
      </w:pPr>
      <w:r w:rsidRPr="0021227C">
        <w:rPr>
          <w:rFonts w:ascii="宋体" w:hAnsi="宋体" w:hint="eastAsia"/>
          <w:noProof/>
          <w:sz w:val="24"/>
          <w:szCs w:val="21"/>
        </w:rPr>
        <w:drawing>
          <wp:inline distT="0" distB="0" distL="0" distR="0">
            <wp:extent cx="5274310" cy="253746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537460"/>
                    </a:xfrm>
                    <a:prstGeom prst="rect">
                      <a:avLst/>
                    </a:prstGeom>
                    <a:noFill/>
                    <a:ln>
                      <a:noFill/>
                    </a:ln>
                  </pic:spPr>
                </pic:pic>
              </a:graphicData>
            </a:graphic>
          </wp:inline>
        </w:drawing>
      </w:r>
    </w:p>
    <w:p w:rsidR="0047376D" w:rsidRPr="0021227C" w:rsidRDefault="0047376D" w:rsidP="0047376D">
      <w:pPr>
        <w:numPr>
          <w:ilvl w:val="0"/>
          <w:numId w:val="4"/>
        </w:numPr>
        <w:adjustRightInd w:val="0"/>
        <w:snapToGrid w:val="0"/>
        <w:spacing w:beforeLines="50" w:before="156" w:line="360" w:lineRule="auto"/>
        <w:rPr>
          <w:rFonts w:ascii="宋体" w:hAnsi="宋体"/>
          <w:sz w:val="24"/>
          <w:szCs w:val="21"/>
        </w:rPr>
      </w:pPr>
      <w:r w:rsidRPr="0021227C">
        <w:rPr>
          <w:rFonts w:ascii="宋体" w:hAnsi="宋体" w:hint="eastAsia"/>
          <w:sz w:val="24"/>
          <w:szCs w:val="21"/>
        </w:rPr>
        <w:t>厂房内需对原结构棚顶、梁柱、墙面进行全面修复翻新处理，对有破损污染严重的区域加固修复并装饰，不允许破坏原结构建筑强度</w:t>
      </w:r>
    </w:p>
    <w:p w:rsidR="0047376D" w:rsidRPr="0021227C" w:rsidRDefault="0047376D" w:rsidP="0047376D">
      <w:pPr>
        <w:numPr>
          <w:ilvl w:val="0"/>
          <w:numId w:val="4"/>
        </w:numPr>
        <w:adjustRightInd w:val="0"/>
        <w:snapToGrid w:val="0"/>
        <w:spacing w:beforeLines="50" w:before="156" w:line="360" w:lineRule="auto"/>
        <w:ind w:leftChars="400" w:left="1260"/>
        <w:rPr>
          <w:rFonts w:ascii="宋体" w:hAnsi="宋体"/>
          <w:sz w:val="24"/>
          <w:szCs w:val="21"/>
        </w:rPr>
      </w:pPr>
      <w:bookmarkStart w:id="23" w:name="OLE_LINK45"/>
      <w:bookmarkStart w:id="24" w:name="OLE_LINK44"/>
      <w:r w:rsidRPr="0021227C">
        <w:rPr>
          <w:rFonts w:ascii="宋体" w:hAnsi="宋体" w:hint="eastAsia"/>
          <w:sz w:val="24"/>
        </w:rPr>
        <w:t>诊断系统万级洁净室</w:t>
      </w:r>
      <w:bookmarkEnd w:id="23"/>
      <w:bookmarkEnd w:id="24"/>
      <w:r w:rsidRPr="0021227C">
        <w:rPr>
          <w:rFonts w:ascii="宋体" w:hAnsi="宋体" w:hint="eastAsia"/>
          <w:sz w:val="24"/>
        </w:rPr>
        <w:t>内部地坪使用PVC地坪上墙（高度80mm）,整体厂房内部需对环氧地坪整体打磨重新施工，对其它装置设备进行区域划分地面标线分区处理。</w:t>
      </w:r>
      <w:r w:rsidRPr="0021227C">
        <w:rPr>
          <w:rFonts w:ascii="宋体" w:hAnsi="宋体"/>
          <w:sz w:val="24"/>
          <w:szCs w:val="21"/>
        </w:rPr>
        <w:t>洁净间</w:t>
      </w:r>
      <w:bookmarkStart w:id="25" w:name="OLE_LINK37"/>
      <w:bookmarkStart w:id="26" w:name="OLE_LINK36"/>
      <w:r w:rsidRPr="0021227C">
        <w:rPr>
          <w:rFonts w:ascii="宋体" w:hAnsi="宋体" w:hint="eastAsia"/>
          <w:sz w:val="24"/>
          <w:szCs w:val="21"/>
        </w:rPr>
        <w:t>使用的顶板及隔断墙板需采用防火A级及以上材质的抗静电</w:t>
      </w:r>
      <w:r w:rsidRPr="0021227C">
        <w:rPr>
          <w:rFonts w:ascii="宋体" w:hAnsi="宋体" w:hint="eastAsia"/>
          <w:sz w:val="24"/>
        </w:rPr>
        <w:t>抗电磁屏蔽EMR净化手工板，厚度≮0.426m,表面阻值</w:t>
      </w:r>
      <w:bookmarkStart w:id="27" w:name="OLE_LINK41"/>
      <w:bookmarkStart w:id="28" w:name="OLE_LINK42"/>
      <w:r w:rsidRPr="0021227C">
        <w:rPr>
          <w:rFonts w:ascii="宋体" w:hAnsi="宋体" w:hint="eastAsia"/>
          <w:sz w:val="24"/>
        </w:rPr>
        <w:t>≮</w:t>
      </w:r>
      <w:bookmarkEnd w:id="27"/>
      <w:bookmarkEnd w:id="28"/>
      <w:r w:rsidRPr="0021227C">
        <w:rPr>
          <w:rFonts w:ascii="宋体" w:hAnsi="宋体" w:hint="eastAsia"/>
          <w:sz w:val="24"/>
        </w:rPr>
        <w:t>10</w:t>
      </w:r>
      <w:r w:rsidRPr="0021227C">
        <w:rPr>
          <w:rFonts w:ascii="宋体" w:hAnsi="宋体" w:hint="eastAsia"/>
          <w:sz w:val="24"/>
          <w:vertAlign w:val="superscript"/>
        </w:rPr>
        <w:t>6</w:t>
      </w:r>
      <w:r w:rsidRPr="0021227C">
        <w:rPr>
          <w:rFonts w:ascii="宋体" w:hAnsi="宋体" w:hint="eastAsia"/>
          <w:sz w:val="24"/>
        </w:rPr>
        <w:t>-10</w:t>
      </w:r>
      <w:r w:rsidRPr="0021227C">
        <w:rPr>
          <w:rFonts w:ascii="宋体" w:hAnsi="宋体" w:hint="eastAsia"/>
          <w:sz w:val="24"/>
          <w:vertAlign w:val="superscript"/>
        </w:rPr>
        <w:t>8</w:t>
      </w:r>
      <w:r w:rsidRPr="0021227C">
        <w:rPr>
          <w:rFonts w:ascii="宋体" w:hAnsi="宋体" w:hint="eastAsia"/>
          <w:sz w:val="24"/>
        </w:rPr>
        <w:t>欧姆。门采用钢制净化门窗表面烤漆处理，观察窗使用双层中空玻璃专用洁净室视窗</w:t>
      </w:r>
      <w:r w:rsidRPr="0021227C">
        <w:rPr>
          <w:rFonts w:ascii="宋体" w:hAnsi="宋体"/>
          <w:sz w:val="24"/>
          <w:szCs w:val="21"/>
        </w:rPr>
        <w:t xml:space="preserve"> ，其它结构连接件使用铝合金或热镀锌材质。地龙骨采用组合式地龙骨与地面抬高</w:t>
      </w:r>
      <w:r w:rsidRPr="0021227C">
        <w:rPr>
          <w:rFonts w:ascii="宋体" w:hAnsi="宋体" w:hint="eastAsia"/>
          <w:sz w:val="24"/>
          <w:szCs w:val="21"/>
        </w:rPr>
        <w:t>80mm安装，避免净化板材直接落地造成腐蚀。为减少拼接</w:t>
      </w:r>
      <w:proofErr w:type="gramStart"/>
      <w:r w:rsidRPr="0021227C">
        <w:rPr>
          <w:rFonts w:ascii="宋体" w:hAnsi="宋体" w:hint="eastAsia"/>
          <w:sz w:val="24"/>
          <w:szCs w:val="21"/>
        </w:rPr>
        <w:t>缝影响</w:t>
      </w:r>
      <w:proofErr w:type="gramEnd"/>
      <w:r w:rsidRPr="0021227C">
        <w:rPr>
          <w:rFonts w:ascii="宋体" w:hAnsi="宋体" w:hint="eastAsia"/>
          <w:sz w:val="24"/>
          <w:szCs w:val="21"/>
        </w:rPr>
        <w:t>气密性能，洁净室结构墙板阳角转角均使用一体成型直角订制板材，不允许使用转接型材制作阳角转角结构。</w:t>
      </w:r>
    </w:p>
    <w:bookmarkEnd w:id="25"/>
    <w:bookmarkEnd w:id="26"/>
    <w:p w:rsidR="0047376D" w:rsidRPr="0021227C" w:rsidRDefault="0047376D" w:rsidP="0047376D">
      <w:pPr>
        <w:numPr>
          <w:ilvl w:val="0"/>
          <w:numId w:val="4"/>
        </w:numPr>
        <w:adjustRightInd w:val="0"/>
        <w:snapToGrid w:val="0"/>
        <w:spacing w:beforeLines="50" w:before="156" w:line="360" w:lineRule="auto"/>
        <w:rPr>
          <w:rFonts w:ascii="宋体" w:hAnsi="宋体"/>
          <w:sz w:val="24"/>
          <w:szCs w:val="21"/>
        </w:rPr>
      </w:pPr>
      <w:r w:rsidRPr="0021227C">
        <w:rPr>
          <w:rFonts w:ascii="宋体" w:hAnsi="宋体" w:hint="eastAsia"/>
          <w:sz w:val="24"/>
          <w:szCs w:val="21"/>
        </w:rPr>
        <w:t>所有洁净</w:t>
      </w:r>
      <w:proofErr w:type="gramStart"/>
      <w:r w:rsidRPr="0021227C">
        <w:rPr>
          <w:rFonts w:ascii="宋体" w:hAnsi="宋体" w:hint="eastAsia"/>
          <w:sz w:val="24"/>
          <w:szCs w:val="21"/>
        </w:rPr>
        <w:t>间主体墙</w:t>
      </w:r>
      <w:proofErr w:type="gramEnd"/>
      <w:r w:rsidRPr="0021227C">
        <w:rPr>
          <w:rFonts w:ascii="宋体" w:hAnsi="宋体" w:hint="eastAsia"/>
          <w:sz w:val="24"/>
          <w:szCs w:val="21"/>
        </w:rPr>
        <w:t>外围高度6.5±0</w:t>
      </w:r>
      <w:r w:rsidRPr="0021227C">
        <w:rPr>
          <w:rFonts w:ascii="宋体" w:hAnsi="宋体"/>
          <w:sz w:val="24"/>
          <w:szCs w:val="21"/>
        </w:rPr>
        <w:t>.</w:t>
      </w:r>
      <w:r w:rsidRPr="0021227C">
        <w:rPr>
          <w:rFonts w:ascii="宋体" w:hAnsi="宋体" w:hint="eastAsia"/>
          <w:sz w:val="24"/>
          <w:szCs w:val="21"/>
        </w:rPr>
        <w:t>05米，不允许遮挡行车运行，</w:t>
      </w:r>
      <w:r w:rsidRPr="0021227C">
        <w:rPr>
          <w:rFonts w:ascii="宋体" w:hAnsi="宋体" w:hint="eastAsia"/>
          <w:sz w:val="24"/>
        </w:rPr>
        <w:t>诊断系统万级洁净室需预留落地中空玻璃大视窗以便参观使用，同时需在墙板和顶板预留可拆卸设备门，以便大型设备进出</w:t>
      </w:r>
      <w:r w:rsidRPr="0021227C">
        <w:rPr>
          <w:rFonts w:ascii="宋体" w:hAnsi="宋体" w:hint="eastAsia"/>
          <w:sz w:val="24"/>
          <w:szCs w:val="21"/>
        </w:rPr>
        <w:t>；</w:t>
      </w:r>
    </w:p>
    <w:p w:rsidR="0047376D" w:rsidRPr="0021227C" w:rsidRDefault="0047376D" w:rsidP="0047376D">
      <w:pPr>
        <w:numPr>
          <w:ilvl w:val="0"/>
          <w:numId w:val="4"/>
        </w:numPr>
        <w:adjustRightInd w:val="0"/>
        <w:snapToGrid w:val="0"/>
        <w:spacing w:beforeLines="50" w:before="156" w:line="360" w:lineRule="auto"/>
        <w:rPr>
          <w:rFonts w:ascii="宋体" w:hAnsi="宋体"/>
          <w:sz w:val="24"/>
          <w:szCs w:val="21"/>
        </w:rPr>
      </w:pPr>
      <w:r w:rsidRPr="0021227C">
        <w:rPr>
          <w:rFonts w:ascii="宋体" w:hAnsi="宋体" w:hint="eastAsia"/>
          <w:sz w:val="24"/>
          <w:szCs w:val="21"/>
        </w:rPr>
        <w:t>洁净室内照明使用薄型LED净化平板灯，照度＞300Lux,按照比例配制断电应急UPS电源，以便在紧急断电时人员疏散使用。洁净室内所有电力管线均采用镀锌铁质套管，按区域预留检修插座。</w:t>
      </w:r>
      <w:bookmarkStart w:id="29" w:name="OLE_LINK48"/>
      <w:bookmarkStart w:id="30" w:name="OLE_LINK49"/>
      <w:r w:rsidRPr="0021227C">
        <w:rPr>
          <w:rFonts w:ascii="宋体" w:hAnsi="宋体" w:hint="eastAsia"/>
          <w:sz w:val="24"/>
        </w:rPr>
        <w:t>诊断系统万级洁净室</w:t>
      </w:r>
      <w:bookmarkEnd w:id="29"/>
      <w:bookmarkEnd w:id="30"/>
      <w:r w:rsidRPr="0021227C">
        <w:rPr>
          <w:rFonts w:ascii="宋体" w:hAnsi="宋体" w:hint="eastAsia"/>
          <w:sz w:val="24"/>
        </w:rPr>
        <w:t>区域内预留暗装</w:t>
      </w:r>
      <w:proofErr w:type="gramStart"/>
      <w:r w:rsidRPr="0021227C">
        <w:rPr>
          <w:rFonts w:ascii="宋体" w:hAnsi="宋体" w:hint="eastAsia"/>
          <w:sz w:val="24"/>
        </w:rPr>
        <w:t>插座电</w:t>
      </w:r>
      <w:proofErr w:type="gramEnd"/>
      <w:r w:rsidRPr="0021227C">
        <w:rPr>
          <w:rFonts w:ascii="宋体" w:hAnsi="宋体" w:hint="eastAsia"/>
          <w:sz w:val="24"/>
        </w:rPr>
        <w:t>箱12台</w:t>
      </w:r>
      <w:bookmarkStart w:id="31" w:name="OLE_LINK46"/>
      <w:bookmarkStart w:id="32" w:name="OLE_LINK47"/>
      <w:r w:rsidRPr="0021227C">
        <w:rPr>
          <w:rFonts w:ascii="宋体" w:hAnsi="宋体" w:hint="eastAsia"/>
          <w:sz w:val="24"/>
        </w:rPr>
        <w:t>（单台25KW）</w:t>
      </w:r>
      <w:bookmarkEnd w:id="31"/>
      <w:bookmarkEnd w:id="32"/>
      <w:r w:rsidRPr="0021227C">
        <w:rPr>
          <w:rFonts w:ascii="宋体" w:hAnsi="宋体" w:hint="eastAsia"/>
          <w:sz w:val="24"/>
        </w:rPr>
        <w:t>以及80KW独立配电箱，以便后续设备供电使用，洁净室内所有配电箱均使用暗装304不锈钢电箱，有微型断路器的配电箱需设置二层防护门。整厂房内预留电力配电箱约180KW，包含空调设备、</w:t>
      </w:r>
      <w:proofErr w:type="gramStart"/>
      <w:r w:rsidRPr="0021227C">
        <w:rPr>
          <w:rFonts w:ascii="宋体" w:hAnsi="宋体" w:hint="eastAsia"/>
          <w:sz w:val="24"/>
        </w:rPr>
        <w:t>插座电</w:t>
      </w:r>
      <w:proofErr w:type="gramEnd"/>
      <w:r w:rsidRPr="0021227C">
        <w:rPr>
          <w:rFonts w:ascii="宋体" w:hAnsi="宋体" w:hint="eastAsia"/>
          <w:sz w:val="24"/>
        </w:rPr>
        <w:t>箱、仪器设备、净化设备、照明插座所有供电均由此电箱提供</w:t>
      </w:r>
      <w:r w:rsidRPr="0021227C">
        <w:rPr>
          <w:rFonts w:ascii="宋体" w:hAnsi="宋体" w:hint="eastAsia"/>
          <w:sz w:val="24"/>
          <w:szCs w:val="21"/>
        </w:rPr>
        <w:t>；</w:t>
      </w:r>
    </w:p>
    <w:p w:rsidR="0047376D" w:rsidRPr="0021227C" w:rsidRDefault="0047376D" w:rsidP="0047376D">
      <w:pPr>
        <w:numPr>
          <w:ilvl w:val="0"/>
          <w:numId w:val="4"/>
        </w:numPr>
        <w:adjustRightInd w:val="0"/>
        <w:snapToGrid w:val="0"/>
        <w:spacing w:beforeLines="50" w:before="156" w:line="360" w:lineRule="auto"/>
        <w:rPr>
          <w:rFonts w:ascii="宋体" w:hAnsi="宋体"/>
          <w:sz w:val="24"/>
          <w:szCs w:val="21"/>
        </w:rPr>
      </w:pPr>
      <w:bookmarkStart w:id="33" w:name="OLE_LINK52"/>
      <w:bookmarkStart w:id="34" w:name="OLE_LINK53"/>
      <w:r w:rsidRPr="0021227C">
        <w:rPr>
          <w:rFonts w:ascii="宋体" w:hAnsi="宋体" w:hint="eastAsia"/>
          <w:sz w:val="24"/>
        </w:rPr>
        <w:t>诊断系统万级洁净室</w:t>
      </w:r>
      <w:bookmarkEnd w:id="33"/>
      <w:bookmarkEnd w:id="34"/>
      <w:r w:rsidRPr="0021227C">
        <w:rPr>
          <w:rFonts w:ascii="宋体" w:hAnsi="宋体" w:hint="eastAsia"/>
          <w:sz w:val="24"/>
        </w:rPr>
        <w:t>洁净受控区域内温度要求24±0.5℃、湿度50-55％，现场无冷热源，需充分考虑供冷供暖恒温恒湿的要求。洁净室空调系统需采用PLC控制</w:t>
      </w:r>
      <w:r w:rsidRPr="0021227C">
        <w:rPr>
          <w:rFonts w:ascii="宋体" w:hAnsi="宋体" w:hint="eastAsia"/>
          <w:sz w:val="24"/>
          <w:szCs w:val="21"/>
        </w:rPr>
        <w:t>并且开放数据端口和协议，以便后续与数据监控系统对接。送风需采用不低于H14的高效送风口（过滤效率：@0.5μm99.995％），高效过滤器使用液槽式密封；并提供详细参数数据以便后续更换。</w:t>
      </w:r>
      <w:r w:rsidRPr="0021227C">
        <w:rPr>
          <w:rFonts w:ascii="宋体" w:hAnsi="宋体" w:hint="eastAsia"/>
          <w:sz w:val="24"/>
        </w:rPr>
        <w:t>诊断系统万级洁净室区域的温度、湿度等数据（包含但不限于）需与数据监控平台系统连接，以便实时检测环境质量的可靠性。通风管道及空调管道均使用热镀锌材料，保温</w:t>
      </w:r>
      <w:proofErr w:type="gramStart"/>
      <w:r w:rsidRPr="0021227C">
        <w:rPr>
          <w:rFonts w:ascii="宋体" w:hAnsi="宋体" w:hint="eastAsia"/>
          <w:sz w:val="24"/>
        </w:rPr>
        <w:t>及断冷材料</w:t>
      </w:r>
      <w:proofErr w:type="gramEnd"/>
      <w:r w:rsidRPr="0021227C">
        <w:rPr>
          <w:rFonts w:ascii="宋体" w:hAnsi="宋体" w:hint="eastAsia"/>
          <w:sz w:val="24"/>
        </w:rPr>
        <w:t>需达到防火B级及以上，要求各管道连接可靠，吊顶上人员可踩踏检修。</w:t>
      </w:r>
    </w:p>
    <w:p w:rsidR="0047376D" w:rsidRPr="0021227C" w:rsidRDefault="0047376D" w:rsidP="0047376D">
      <w:pPr>
        <w:adjustRightInd w:val="0"/>
        <w:snapToGrid w:val="0"/>
        <w:spacing w:beforeLines="50" w:before="156" w:line="360" w:lineRule="auto"/>
        <w:ind w:firstLineChars="100" w:firstLine="241"/>
        <w:rPr>
          <w:rFonts w:ascii="宋体" w:hAnsi="宋体"/>
          <w:b/>
          <w:sz w:val="24"/>
        </w:rPr>
      </w:pPr>
      <w:r w:rsidRPr="0021227C">
        <w:rPr>
          <w:rFonts w:ascii="宋体" w:hAnsi="宋体"/>
          <w:b/>
          <w:sz w:val="24"/>
        </w:rPr>
        <w:t>2.</w:t>
      </w:r>
      <w:r w:rsidRPr="0021227C">
        <w:rPr>
          <w:rFonts w:ascii="宋体" w:hAnsi="宋体" w:hint="eastAsia"/>
          <w:b/>
          <w:sz w:val="24"/>
        </w:rPr>
        <w:t>4、</w:t>
      </w:r>
      <w:r w:rsidRPr="0021227C">
        <w:rPr>
          <w:rFonts w:ascii="宋体" w:hAnsi="宋体"/>
          <w:b/>
          <w:sz w:val="24"/>
        </w:rPr>
        <w:t xml:space="preserve"> 技术服务要求及质保要求</w:t>
      </w:r>
    </w:p>
    <w:p w:rsidR="0047376D" w:rsidRPr="0021227C" w:rsidRDefault="0047376D" w:rsidP="0047376D">
      <w:pPr>
        <w:numPr>
          <w:ilvl w:val="1"/>
          <w:numId w:val="5"/>
        </w:numPr>
        <w:adjustRightInd w:val="0"/>
        <w:snapToGrid w:val="0"/>
        <w:spacing w:beforeLines="50" w:before="156" w:line="360" w:lineRule="auto"/>
        <w:rPr>
          <w:rFonts w:ascii="宋体" w:hAnsi="宋体" w:hint="eastAsia"/>
          <w:sz w:val="24"/>
        </w:rPr>
      </w:pPr>
      <w:r w:rsidRPr="0021227C">
        <w:rPr>
          <w:rFonts w:ascii="宋体" w:hAnsi="宋体" w:hint="eastAsia"/>
          <w:sz w:val="24"/>
        </w:rPr>
        <w:t>乙方按照甲方的要求完成洁净间的具体设计工作，并提供计算书给甲方，在甲方确认后方可施工；</w:t>
      </w:r>
    </w:p>
    <w:p w:rsidR="0047376D" w:rsidRPr="0021227C" w:rsidRDefault="0047376D" w:rsidP="0047376D">
      <w:pPr>
        <w:numPr>
          <w:ilvl w:val="1"/>
          <w:numId w:val="5"/>
        </w:numPr>
        <w:adjustRightInd w:val="0"/>
        <w:snapToGrid w:val="0"/>
        <w:spacing w:beforeLines="50" w:before="156" w:line="360" w:lineRule="auto"/>
        <w:rPr>
          <w:rFonts w:ascii="宋体" w:hAnsi="宋体" w:hint="eastAsia"/>
          <w:sz w:val="24"/>
        </w:rPr>
      </w:pPr>
      <w:r w:rsidRPr="0021227C">
        <w:rPr>
          <w:rFonts w:ascii="宋体" w:hAnsi="宋体" w:hint="eastAsia"/>
          <w:sz w:val="24"/>
        </w:rPr>
        <w:t>乙方负责设备的运输和现场的安装工作；</w:t>
      </w:r>
    </w:p>
    <w:p w:rsidR="0047376D" w:rsidRPr="0021227C" w:rsidRDefault="0047376D" w:rsidP="0047376D">
      <w:pPr>
        <w:numPr>
          <w:ilvl w:val="1"/>
          <w:numId w:val="5"/>
        </w:numPr>
        <w:adjustRightInd w:val="0"/>
        <w:snapToGrid w:val="0"/>
        <w:spacing w:beforeLines="50" w:before="156" w:line="360" w:lineRule="auto"/>
        <w:rPr>
          <w:rFonts w:ascii="宋体" w:hAnsi="宋体" w:hint="eastAsia"/>
          <w:sz w:val="24"/>
        </w:rPr>
      </w:pPr>
      <w:r w:rsidRPr="0021227C">
        <w:rPr>
          <w:rFonts w:ascii="宋体" w:hAnsi="宋体" w:hint="eastAsia"/>
          <w:sz w:val="24"/>
        </w:rPr>
        <w:t>乙方负责采购和安装配套的空调系统；</w:t>
      </w:r>
    </w:p>
    <w:p w:rsidR="0047376D" w:rsidRPr="0021227C" w:rsidRDefault="0047376D" w:rsidP="0047376D">
      <w:pPr>
        <w:numPr>
          <w:ilvl w:val="1"/>
          <w:numId w:val="5"/>
        </w:numPr>
        <w:adjustRightInd w:val="0"/>
        <w:snapToGrid w:val="0"/>
        <w:spacing w:beforeLines="50" w:before="156" w:line="360" w:lineRule="auto"/>
        <w:rPr>
          <w:rFonts w:ascii="宋体" w:hAnsi="宋体"/>
          <w:sz w:val="24"/>
        </w:rPr>
      </w:pPr>
      <w:r w:rsidRPr="0021227C">
        <w:rPr>
          <w:rFonts w:ascii="宋体" w:hAnsi="宋体" w:hint="eastAsia"/>
          <w:sz w:val="24"/>
        </w:rPr>
        <w:t>乙方负责安装后的调试和检测工作</w:t>
      </w:r>
    </w:p>
    <w:p w:rsidR="0047376D" w:rsidRPr="0021227C" w:rsidRDefault="0047376D" w:rsidP="0047376D">
      <w:pPr>
        <w:numPr>
          <w:ilvl w:val="1"/>
          <w:numId w:val="5"/>
        </w:numPr>
        <w:adjustRightInd w:val="0"/>
        <w:snapToGrid w:val="0"/>
        <w:spacing w:beforeLines="50" w:before="156" w:line="360" w:lineRule="auto"/>
        <w:rPr>
          <w:rFonts w:ascii="宋体" w:hAnsi="宋体" w:hint="eastAsia"/>
          <w:szCs w:val="21"/>
        </w:rPr>
      </w:pPr>
      <w:r w:rsidRPr="0021227C">
        <w:rPr>
          <w:rFonts w:ascii="宋体" w:hAnsi="宋体" w:hint="eastAsia"/>
          <w:sz w:val="24"/>
        </w:rPr>
        <w:t>质保期内对电器原件提供免费维护或更换。</w:t>
      </w:r>
    </w:p>
    <w:p w:rsidR="0047376D" w:rsidRPr="0021227C" w:rsidRDefault="0047376D" w:rsidP="0047376D">
      <w:pPr>
        <w:adjustRightInd w:val="0"/>
        <w:snapToGrid w:val="0"/>
        <w:spacing w:beforeLines="50" w:before="156" w:line="360" w:lineRule="auto"/>
        <w:ind w:firstLineChars="100" w:firstLine="241"/>
        <w:rPr>
          <w:rFonts w:ascii="宋体" w:hAnsi="宋体" w:hint="eastAsia"/>
          <w:b/>
          <w:sz w:val="24"/>
        </w:rPr>
      </w:pPr>
      <w:r w:rsidRPr="0021227C">
        <w:rPr>
          <w:rFonts w:ascii="宋体" w:hAnsi="宋体"/>
          <w:b/>
          <w:sz w:val="24"/>
        </w:rPr>
        <w:t>2.</w:t>
      </w:r>
      <w:r w:rsidRPr="0021227C">
        <w:rPr>
          <w:rFonts w:ascii="宋体" w:hAnsi="宋体" w:hint="eastAsia"/>
          <w:b/>
          <w:sz w:val="24"/>
        </w:rPr>
        <w:t>5、</w:t>
      </w:r>
      <w:r w:rsidRPr="0021227C">
        <w:rPr>
          <w:rFonts w:ascii="宋体" w:hAnsi="宋体"/>
          <w:b/>
          <w:sz w:val="24"/>
        </w:rPr>
        <w:t>验收标准及验收程序</w:t>
      </w:r>
      <w:bookmarkEnd w:id="0"/>
    </w:p>
    <w:p w:rsidR="0047376D" w:rsidRPr="0021227C" w:rsidRDefault="0047376D" w:rsidP="0047376D">
      <w:pPr>
        <w:numPr>
          <w:ilvl w:val="0"/>
          <w:numId w:val="6"/>
        </w:numPr>
        <w:adjustRightInd w:val="0"/>
        <w:snapToGrid w:val="0"/>
        <w:spacing w:beforeLines="50" w:before="156" w:line="360" w:lineRule="auto"/>
        <w:rPr>
          <w:rFonts w:ascii="宋体" w:hAnsi="宋体"/>
          <w:sz w:val="24"/>
        </w:rPr>
      </w:pPr>
      <w:r w:rsidRPr="0021227C">
        <w:rPr>
          <w:rFonts w:ascii="宋体" w:hAnsi="宋体" w:hint="eastAsia"/>
          <w:sz w:val="24"/>
        </w:rPr>
        <w:t>洁净室的设计制造及安全技术条件等应符合国家和有关行业的标准；</w:t>
      </w:r>
    </w:p>
    <w:p w:rsidR="0047376D" w:rsidRPr="0021227C" w:rsidRDefault="0047376D" w:rsidP="0047376D">
      <w:pPr>
        <w:numPr>
          <w:ilvl w:val="0"/>
          <w:numId w:val="6"/>
        </w:numPr>
        <w:adjustRightInd w:val="0"/>
        <w:snapToGrid w:val="0"/>
        <w:spacing w:beforeLines="50" w:before="156" w:line="360" w:lineRule="auto"/>
        <w:rPr>
          <w:rFonts w:ascii="宋体" w:hAnsi="宋体" w:hint="eastAsia"/>
          <w:sz w:val="24"/>
        </w:rPr>
      </w:pPr>
      <w:r w:rsidRPr="0021227C">
        <w:rPr>
          <w:rFonts w:ascii="宋体" w:hAnsi="宋体" w:hint="eastAsia"/>
          <w:sz w:val="24"/>
        </w:rPr>
        <w:t>乙方提供设计图纸，设计报告和计算书以及验收方案，通过甲方认可后开始验收；</w:t>
      </w:r>
    </w:p>
    <w:p w:rsidR="0047376D" w:rsidRPr="0021227C" w:rsidRDefault="0047376D" w:rsidP="0047376D">
      <w:pPr>
        <w:numPr>
          <w:ilvl w:val="0"/>
          <w:numId w:val="6"/>
        </w:numPr>
        <w:adjustRightInd w:val="0"/>
        <w:snapToGrid w:val="0"/>
        <w:spacing w:beforeLines="50" w:before="156" w:line="360" w:lineRule="auto"/>
        <w:rPr>
          <w:rFonts w:ascii="宋体" w:hAnsi="宋体"/>
          <w:sz w:val="24"/>
        </w:rPr>
      </w:pPr>
      <w:r w:rsidRPr="0021227C">
        <w:rPr>
          <w:rFonts w:ascii="宋体" w:hAnsi="宋体" w:hint="eastAsia"/>
          <w:sz w:val="24"/>
        </w:rPr>
        <w:t>乙方将所有安装工作完成并且测试检验合格，整理相关文件和报告，报甲方进行验收，获得甲方认可后可视为验收合格；</w:t>
      </w:r>
    </w:p>
    <w:p w:rsidR="0047376D" w:rsidRPr="0021227C" w:rsidRDefault="0047376D" w:rsidP="0047376D">
      <w:pPr>
        <w:numPr>
          <w:ilvl w:val="0"/>
          <w:numId w:val="6"/>
        </w:numPr>
        <w:adjustRightInd w:val="0"/>
        <w:snapToGrid w:val="0"/>
        <w:spacing w:beforeLines="50" w:before="156" w:line="360" w:lineRule="auto"/>
        <w:rPr>
          <w:rFonts w:ascii="宋体" w:hAnsi="宋体" w:hint="eastAsia"/>
          <w:sz w:val="24"/>
        </w:rPr>
      </w:pPr>
      <w:r w:rsidRPr="0021227C">
        <w:rPr>
          <w:rFonts w:ascii="宋体" w:hAnsi="宋体" w:hint="eastAsia"/>
          <w:sz w:val="24"/>
        </w:rPr>
        <w:t>乙方提供相关器件的合格证以及质保书。</w:t>
      </w:r>
    </w:p>
    <w:p w:rsidR="0047376D" w:rsidRPr="0047376D" w:rsidRDefault="0047376D">
      <w:bookmarkStart w:id="35" w:name="_GoBack"/>
      <w:bookmarkEnd w:id="35"/>
    </w:p>
    <w:sectPr w:rsidR="0047376D" w:rsidRPr="00473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D1FED"/>
    <w:multiLevelType w:val="multilevel"/>
    <w:tmpl w:val="16AD1FED"/>
    <w:lvl w:ilvl="0">
      <w:start w:val="1"/>
      <w:numFmt w:val="decimal"/>
      <w:lvlText w:val="%1)"/>
      <w:lvlJc w:val="left"/>
      <w:pPr>
        <w:ind w:left="660" w:hanging="420"/>
      </w:pPr>
      <w:rPr>
        <w:rFonts w:hint="eastAsia"/>
      </w:rPr>
    </w:lvl>
    <w:lvl w:ilvl="1">
      <w:start w:val="1"/>
      <w:numFmt w:val="decimal"/>
      <w:lvlText w:val="%2)"/>
      <w:lvlJc w:val="left"/>
      <w:pPr>
        <w:ind w:left="1080" w:hanging="420"/>
      </w:pPr>
      <w:rPr>
        <w:rFonts w:hint="eastAsia"/>
        <w:sz w:val="24"/>
      </w:rPr>
    </w:lvl>
    <w:lvl w:ilvl="2">
      <w:start w:val="1"/>
      <w:numFmt w:val="decimal"/>
      <w:lvlText w:val="（%3）"/>
      <w:lvlJc w:val="left"/>
      <w:pPr>
        <w:ind w:left="1800" w:hanging="72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 w15:restartNumberingAfterBreak="0">
    <w:nsid w:val="1F262D28"/>
    <w:multiLevelType w:val="multilevel"/>
    <w:tmpl w:val="1F262D28"/>
    <w:lvl w:ilvl="0">
      <w:start w:val="1"/>
      <w:numFmt w:val="decimal"/>
      <w:lvlText w:val="%1)"/>
      <w:lvlJc w:val="left"/>
      <w:pPr>
        <w:ind w:left="1320" w:hanging="420"/>
      </w:pPr>
      <w:rPr>
        <w:rFonts w:hint="eastAsia"/>
        <w:sz w:val="24"/>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 w15:restartNumberingAfterBreak="0">
    <w:nsid w:val="2A2C0860"/>
    <w:multiLevelType w:val="multilevel"/>
    <w:tmpl w:val="2A2C086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4F40D5"/>
    <w:multiLevelType w:val="multilevel"/>
    <w:tmpl w:val="364F40D5"/>
    <w:lvl w:ilvl="0">
      <w:start w:val="1"/>
      <w:numFmt w:val="chineseCountingThousand"/>
      <w:lvlText w:val="(%1)"/>
      <w:lvlJc w:val="left"/>
      <w:pPr>
        <w:ind w:left="660" w:hanging="420"/>
      </w:pPr>
    </w:lvl>
    <w:lvl w:ilvl="1">
      <w:start w:val="1"/>
      <w:numFmt w:val="decimal"/>
      <w:lvlText w:val="%2）"/>
      <w:lvlJc w:val="left"/>
      <w:pPr>
        <w:ind w:left="1020" w:hanging="360"/>
      </w:pPr>
      <w:rPr>
        <w:rFonts w:hint="default"/>
      </w:r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 w15:restartNumberingAfterBreak="0">
    <w:nsid w:val="52D90ABD"/>
    <w:multiLevelType w:val="multilevel"/>
    <w:tmpl w:val="52D90ABD"/>
    <w:lvl w:ilvl="0">
      <w:start w:val="1"/>
      <w:numFmt w:val="decimal"/>
      <w:lvlText w:val="%1)"/>
      <w:lvlJc w:val="left"/>
      <w:pPr>
        <w:ind w:left="900" w:hanging="420"/>
      </w:pPr>
      <w:rPr>
        <w:rFonts w:hint="eastAsia"/>
        <w:sz w:val="24"/>
      </w:rPr>
    </w:lvl>
    <w:lvl w:ilvl="1">
      <w:start w:val="2"/>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534B2593"/>
    <w:multiLevelType w:val="multilevel"/>
    <w:tmpl w:val="534B2593"/>
    <w:lvl w:ilvl="0">
      <w:start w:val="1"/>
      <w:numFmt w:val="decimal"/>
      <w:lvlText w:val="%1)"/>
      <w:lvlJc w:val="left"/>
      <w:pPr>
        <w:ind w:left="660" w:hanging="420"/>
      </w:pPr>
      <w:rPr>
        <w:rFonts w:hint="eastAsia"/>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6D"/>
    <w:rsid w:val="00473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A58CD-082A-417A-B06F-CC330407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76D"/>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47376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47376D"/>
    <w:rPr>
      <w:rFonts w:ascii="Times New Roman" w:eastAsia="宋体" w:hAnsi="Times New Roman" w:cs="Times New Roman"/>
      <w:b/>
      <w:bCs/>
      <w:kern w:val="44"/>
      <w:sz w:val="44"/>
      <w:szCs w:val="44"/>
    </w:rPr>
  </w:style>
  <w:style w:type="paragraph" w:styleId="a3">
    <w:name w:val="Normal (Web)"/>
    <w:basedOn w:val="a"/>
    <w:uiPriority w:val="99"/>
    <w:rsid w:val="0047376D"/>
    <w:pPr>
      <w:widowControl/>
      <w:spacing w:before="100" w:beforeAutospacing="1" w:after="100" w:afterAutospacing="1"/>
      <w:jc w:val="left"/>
    </w:pPr>
    <w:rPr>
      <w:rFonts w:ascii="宋体" w:hAnsi="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2025-05-13T07:35:00Z</dcterms:created>
  <dcterms:modified xsi:type="dcterms:W3CDTF">2025-05-13T07:36:00Z</dcterms:modified>
</cp:coreProperties>
</file>