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E8" w:rsidRPr="000833EA" w:rsidRDefault="00044CE8" w:rsidP="00044CE8">
      <w:pPr>
        <w:pStyle w:val="1"/>
        <w:widowControl/>
        <w:snapToGrid w:val="0"/>
        <w:spacing w:before="0" w:after="0" w:line="360" w:lineRule="auto"/>
        <w:jc w:val="center"/>
        <w:rPr>
          <w:rFonts w:ascii="宋体" w:hAnsi="宋体" w:hint="eastAsia"/>
        </w:rPr>
      </w:pPr>
      <w:r w:rsidRPr="000833EA">
        <w:rPr>
          <w:rFonts w:ascii="宋体" w:hAnsi="宋体" w:hint="eastAsia"/>
        </w:rPr>
        <w:t>采购需求及技术规格要求</w:t>
      </w:r>
    </w:p>
    <w:p w:rsidR="00044CE8" w:rsidRPr="000833EA" w:rsidRDefault="00044CE8" w:rsidP="00044CE8">
      <w:pPr>
        <w:adjustRightInd w:val="0"/>
        <w:snapToGrid w:val="0"/>
        <w:spacing w:beforeLines="50" w:before="156" w:line="360" w:lineRule="auto"/>
        <w:rPr>
          <w:b/>
          <w:sz w:val="24"/>
        </w:rPr>
      </w:pPr>
      <w:r w:rsidRPr="000833EA">
        <w:rPr>
          <w:b/>
          <w:sz w:val="24"/>
        </w:rPr>
        <w:t>1</w:t>
      </w:r>
      <w:r w:rsidRPr="000833EA">
        <w:rPr>
          <w:rFonts w:hint="eastAsia"/>
          <w:b/>
          <w:sz w:val="24"/>
        </w:rPr>
        <w:t>、</w:t>
      </w:r>
      <w:r w:rsidRPr="000833EA">
        <w:rPr>
          <w:b/>
          <w:sz w:val="24"/>
        </w:rPr>
        <w:t>货物需求一览表</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3933"/>
        <w:gridCol w:w="1404"/>
        <w:gridCol w:w="1679"/>
      </w:tblGrid>
      <w:tr w:rsidR="00044CE8" w:rsidRPr="000833EA" w:rsidTr="0079633B">
        <w:tc>
          <w:tcPr>
            <w:tcW w:w="725" w:type="dxa"/>
            <w:shd w:val="clear" w:color="auto" w:fill="auto"/>
            <w:vAlign w:val="center"/>
          </w:tcPr>
          <w:p w:rsidR="00044CE8" w:rsidRPr="000833EA" w:rsidRDefault="00044CE8" w:rsidP="0079633B">
            <w:pPr>
              <w:jc w:val="center"/>
              <w:rPr>
                <w:rFonts w:ascii="宋体" w:hAnsi="宋体" w:hint="eastAsia"/>
                <w:b/>
                <w:bCs/>
              </w:rPr>
            </w:pPr>
            <w:r w:rsidRPr="000833EA">
              <w:rPr>
                <w:rFonts w:ascii="宋体" w:hAnsi="宋体" w:hint="eastAsia"/>
                <w:b/>
                <w:bCs/>
              </w:rPr>
              <w:t>序号</w:t>
            </w:r>
          </w:p>
        </w:tc>
        <w:tc>
          <w:tcPr>
            <w:tcW w:w="4085" w:type="dxa"/>
            <w:shd w:val="clear" w:color="auto" w:fill="auto"/>
            <w:vAlign w:val="center"/>
          </w:tcPr>
          <w:p w:rsidR="00044CE8" w:rsidRPr="000833EA" w:rsidRDefault="00044CE8" w:rsidP="0079633B">
            <w:pPr>
              <w:jc w:val="center"/>
              <w:rPr>
                <w:rFonts w:ascii="宋体" w:hAnsi="宋体" w:hint="eastAsia"/>
                <w:b/>
                <w:bCs/>
              </w:rPr>
            </w:pPr>
            <w:r w:rsidRPr="000833EA">
              <w:rPr>
                <w:rFonts w:ascii="宋体" w:hAnsi="宋体" w:hint="eastAsia"/>
                <w:b/>
                <w:bCs/>
              </w:rPr>
              <w:t>货物名称</w:t>
            </w:r>
          </w:p>
        </w:tc>
        <w:tc>
          <w:tcPr>
            <w:tcW w:w="1433" w:type="dxa"/>
            <w:shd w:val="clear" w:color="auto" w:fill="auto"/>
            <w:vAlign w:val="center"/>
          </w:tcPr>
          <w:p w:rsidR="00044CE8" w:rsidRPr="000833EA" w:rsidRDefault="00044CE8" w:rsidP="0079633B">
            <w:pPr>
              <w:jc w:val="center"/>
              <w:rPr>
                <w:rFonts w:ascii="宋体" w:hAnsi="宋体"/>
                <w:b/>
                <w:bCs/>
              </w:rPr>
            </w:pPr>
            <w:r w:rsidRPr="000833EA">
              <w:rPr>
                <w:rFonts w:ascii="宋体" w:hAnsi="宋体" w:hint="eastAsia"/>
                <w:b/>
                <w:bCs/>
              </w:rPr>
              <w:t>材料</w:t>
            </w:r>
          </w:p>
        </w:tc>
        <w:tc>
          <w:tcPr>
            <w:tcW w:w="1710" w:type="dxa"/>
            <w:shd w:val="clear" w:color="auto" w:fill="auto"/>
            <w:vAlign w:val="center"/>
          </w:tcPr>
          <w:p w:rsidR="00044CE8" w:rsidRPr="000833EA" w:rsidRDefault="00044CE8" w:rsidP="0079633B">
            <w:pPr>
              <w:jc w:val="center"/>
              <w:rPr>
                <w:rFonts w:ascii="宋体" w:hAnsi="宋体"/>
                <w:b/>
                <w:bCs/>
              </w:rPr>
            </w:pPr>
            <w:r w:rsidRPr="000833EA">
              <w:rPr>
                <w:rFonts w:ascii="宋体" w:hAnsi="宋体" w:hint="eastAsia"/>
                <w:b/>
                <w:bCs/>
              </w:rPr>
              <w:t>净重</w:t>
            </w:r>
          </w:p>
        </w:tc>
      </w:tr>
      <w:tr w:rsidR="00044CE8" w:rsidRPr="000833EA" w:rsidTr="0079633B">
        <w:tc>
          <w:tcPr>
            <w:tcW w:w="725" w:type="dxa"/>
            <w:shd w:val="clear" w:color="auto" w:fill="auto"/>
            <w:vAlign w:val="center"/>
          </w:tcPr>
          <w:p w:rsidR="00044CE8" w:rsidRPr="000833EA" w:rsidRDefault="00044CE8" w:rsidP="0079633B">
            <w:pPr>
              <w:jc w:val="center"/>
              <w:rPr>
                <w:rFonts w:ascii="宋体" w:hAnsi="宋体" w:hint="eastAsia"/>
              </w:rPr>
            </w:pPr>
            <w:r w:rsidRPr="000833EA">
              <w:rPr>
                <w:rFonts w:ascii="宋体" w:hAnsi="宋体" w:hint="eastAsia"/>
              </w:rPr>
              <w:t>1</w:t>
            </w:r>
          </w:p>
        </w:tc>
        <w:tc>
          <w:tcPr>
            <w:tcW w:w="4085" w:type="dxa"/>
            <w:shd w:val="clear" w:color="auto" w:fill="auto"/>
            <w:vAlign w:val="center"/>
          </w:tcPr>
          <w:p w:rsidR="00044CE8" w:rsidRPr="000833EA" w:rsidRDefault="00044CE8" w:rsidP="0079633B">
            <w:pPr>
              <w:jc w:val="center"/>
              <w:rPr>
                <w:rFonts w:ascii="宋体" w:hAnsi="宋体" w:hint="eastAsia"/>
              </w:rPr>
            </w:pPr>
            <w:r w:rsidRPr="000833EA">
              <w:rPr>
                <w:rFonts w:ascii="宋体" w:hAnsi="宋体" w:cs="Arial" w:hint="eastAsia"/>
              </w:rPr>
              <w:t>PF终端箱不锈钢零部件</w:t>
            </w:r>
          </w:p>
        </w:tc>
        <w:tc>
          <w:tcPr>
            <w:tcW w:w="1433" w:type="dxa"/>
            <w:shd w:val="clear" w:color="auto" w:fill="auto"/>
            <w:vAlign w:val="center"/>
          </w:tcPr>
          <w:p w:rsidR="00044CE8" w:rsidRPr="000833EA" w:rsidRDefault="00044CE8" w:rsidP="0079633B">
            <w:pPr>
              <w:jc w:val="center"/>
              <w:rPr>
                <w:rFonts w:ascii="宋体" w:hAnsi="宋体"/>
              </w:rPr>
            </w:pPr>
            <w:r w:rsidRPr="000833EA">
              <w:rPr>
                <w:rFonts w:ascii="宋体" w:hAnsi="宋体" w:hint="eastAsia"/>
              </w:rPr>
              <w:t>316LN</w:t>
            </w:r>
          </w:p>
        </w:tc>
        <w:tc>
          <w:tcPr>
            <w:tcW w:w="1710" w:type="dxa"/>
            <w:shd w:val="clear" w:color="auto" w:fill="auto"/>
            <w:vAlign w:val="center"/>
          </w:tcPr>
          <w:p w:rsidR="00044CE8" w:rsidRPr="000833EA" w:rsidRDefault="00044CE8" w:rsidP="0079633B">
            <w:pPr>
              <w:jc w:val="center"/>
              <w:rPr>
                <w:rFonts w:ascii="宋体" w:hAnsi="宋体" w:hint="eastAsia"/>
              </w:rPr>
            </w:pPr>
            <w:r w:rsidRPr="000833EA">
              <w:rPr>
                <w:rFonts w:ascii="宋体" w:hAnsi="宋体" w:hint="eastAsia"/>
              </w:rPr>
              <w:t>8612Kg</w:t>
            </w:r>
          </w:p>
        </w:tc>
      </w:tr>
      <w:tr w:rsidR="00044CE8" w:rsidRPr="000833EA" w:rsidTr="0079633B">
        <w:tc>
          <w:tcPr>
            <w:tcW w:w="725" w:type="dxa"/>
            <w:shd w:val="clear" w:color="auto" w:fill="auto"/>
            <w:vAlign w:val="center"/>
          </w:tcPr>
          <w:p w:rsidR="00044CE8" w:rsidRPr="000833EA" w:rsidRDefault="00044CE8" w:rsidP="0079633B">
            <w:pPr>
              <w:jc w:val="center"/>
              <w:rPr>
                <w:rFonts w:ascii="宋体" w:hAnsi="宋体" w:hint="eastAsia"/>
              </w:rPr>
            </w:pPr>
            <w:r w:rsidRPr="000833EA">
              <w:rPr>
                <w:rFonts w:ascii="宋体" w:hAnsi="宋体" w:hint="eastAsia"/>
              </w:rPr>
              <w:t>2</w:t>
            </w:r>
          </w:p>
        </w:tc>
        <w:tc>
          <w:tcPr>
            <w:tcW w:w="4085" w:type="dxa"/>
            <w:shd w:val="clear" w:color="auto" w:fill="auto"/>
            <w:vAlign w:val="center"/>
          </w:tcPr>
          <w:p w:rsidR="00044CE8" w:rsidRPr="000833EA" w:rsidRDefault="00044CE8" w:rsidP="0079633B">
            <w:pPr>
              <w:jc w:val="center"/>
              <w:rPr>
                <w:rFonts w:ascii="宋体" w:hAnsi="宋体" w:hint="eastAsia"/>
              </w:rPr>
            </w:pPr>
            <w:r w:rsidRPr="000833EA">
              <w:rPr>
                <w:rFonts w:ascii="宋体" w:hAnsi="宋体" w:cs="Arial" w:hint="eastAsia"/>
              </w:rPr>
              <w:t>PF支撑夹具不锈钢零部件</w:t>
            </w:r>
          </w:p>
        </w:tc>
        <w:tc>
          <w:tcPr>
            <w:tcW w:w="1433" w:type="dxa"/>
            <w:shd w:val="clear" w:color="auto" w:fill="auto"/>
            <w:vAlign w:val="center"/>
          </w:tcPr>
          <w:p w:rsidR="00044CE8" w:rsidRPr="000833EA" w:rsidRDefault="00044CE8" w:rsidP="0079633B">
            <w:pPr>
              <w:jc w:val="center"/>
              <w:rPr>
                <w:rFonts w:ascii="宋体" w:hAnsi="宋体" w:hint="eastAsia"/>
              </w:rPr>
            </w:pPr>
            <w:r w:rsidRPr="000833EA">
              <w:rPr>
                <w:rFonts w:ascii="宋体" w:hAnsi="宋体" w:hint="eastAsia"/>
              </w:rPr>
              <w:t>316LN</w:t>
            </w:r>
          </w:p>
        </w:tc>
        <w:tc>
          <w:tcPr>
            <w:tcW w:w="1710" w:type="dxa"/>
            <w:shd w:val="clear" w:color="auto" w:fill="auto"/>
            <w:vAlign w:val="center"/>
          </w:tcPr>
          <w:p w:rsidR="00044CE8" w:rsidRPr="000833EA" w:rsidRDefault="00044CE8" w:rsidP="0079633B">
            <w:pPr>
              <w:jc w:val="center"/>
              <w:rPr>
                <w:rFonts w:ascii="宋体" w:hAnsi="宋体" w:hint="eastAsia"/>
              </w:rPr>
            </w:pPr>
            <w:r w:rsidRPr="000833EA">
              <w:rPr>
                <w:rFonts w:ascii="宋体" w:hAnsi="宋体" w:hint="eastAsia"/>
              </w:rPr>
              <w:t>70890Kg</w:t>
            </w:r>
          </w:p>
        </w:tc>
      </w:tr>
      <w:tr w:rsidR="00044CE8" w:rsidRPr="000833EA" w:rsidTr="0079633B">
        <w:tc>
          <w:tcPr>
            <w:tcW w:w="725" w:type="dxa"/>
            <w:shd w:val="clear" w:color="auto" w:fill="auto"/>
            <w:vAlign w:val="center"/>
          </w:tcPr>
          <w:p w:rsidR="00044CE8" w:rsidRPr="000833EA" w:rsidRDefault="00044CE8" w:rsidP="0079633B">
            <w:pPr>
              <w:jc w:val="center"/>
              <w:rPr>
                <w:rFonts w:ascii="宋体" w:hAnsi="宋体"/>
              </w:rPr>
            </w:pPr>
            <w:r w:rsidRPr="000833EA">
              <w:rPr>
                <w:rFonts w:ascii="宋体" w:hAnsi="宋体" w:hint="eastAsia"/>
              </w:rPr>
              <w:t>3</w:t>
            </w:r>
          </w:p>
        </w:tc>
        <w:tc>
          <w:tcPr>
            <w:tcW w:w="4085" w:type="dxa"/>
            <w:shd w:val="clear" w:color="auto" w:fill="auto"/>
            <w:vAlign w:val="center"/>
          </w:tcPr>
          <w:p w:rsidR="00044CE8" w:rsidRPr="000833EA" w:rsidRDefault="00044CE8" w:rsidP="0079633B">
            <w:pPr>
              <w:jc w:val="center"/>
              <w:rPr>
                <w:rFonts w:ascii="宋体" w:hAnsi="宋体" w:cs="Arial" w:hint="eastAsia"/>
              </w:rPr>
            </w:pPr>
            <w:r w:rsidRPr="000833EA">
              <w:rPr>
                <w:rFonts w:ascii="宋体" w:hAnsi="宋体" w:cs="Arial" w:hint="eastAsia"/>
              </w:rPr>
              <w:t>PF接头夹具不锈钢零部件</w:t>
            </w:r>
          </w:p>
        </w:tc>
        <w:tc>
          <w:tcPr>
            <w:tcW w:w="1433" w:type="dxa"/>
            <w:shd w:val="clear" w:color="auto" w:fill="auto"/>
            <w:vAlign w:val="center"/>
          </w:tcPr>
          <w:p w:rsidR="00044CE8" w:rsidRPr="000833EA" w:rsidRDefault="00044CE8" w:rsidP="0079633B">
            <w:pPr>
              <w:jc w:val="center"/>
              <w:rPr>
                <w:rFonts w:ascii="宋体" w:hAnsi="宋体" w:hint="eastAsia"/>
              </w:rPr>
            </w:pPr>
            <w:r w:rsidRPr="000833EA">
              <w:rPr>
                <w:rFonts w:ascii="宋体" w:hAnsi="宋体" w:hint="eastAsia"/>
              </w:rPr>
              <w:t>316LN</w:t>
            </w:r>
          </w:p>
        </w:tc>
        <w:tc>
          <w:tcPr>
            <w:tcW w:w="1710" w:type="dxa"/>
            <w:shd w:val="clear" w:color="auto" w:fill="auto"/>
            <w:vAlign w:val="center"/>
          </w:tcPr>
          <w:p w:rsidR="00044CE8" w:rsidRPr="000833EA" w:rsidRDefault="00044CE8" w:rsidP="0079633B">
            <w:pPr>
              <w:jc w:val="center"/>
              <w:rPr>
                <w:rFonts w:ascii="宋体" w:hAnsi="宋体" w:hint="eastAsia"/>
              </w:rPr>
            </w:pPr>
            <w:r w:rsidRPr="000833EA">
              <w:rPr>
                <w:rFonts w:ascii="宋体" w:hAnsi="宋体" w:hint="eastAsia"/>
              </w:rPr>
              <w:t>2931Kg</w:t>
            </w:r>
          </w:p>
        </w:tc>
      </w:tr>
      <w:tr w:rsidR="00044CE8" w:rsidRPr="000833EA" w:rsidTr="0079633B">
        <w:tc>
          <w:tcPr>
            <w:tcW w:w="7953" w:type="dxa"/>
            <w:gridSpan w:val="4"/>
            <w:shd w:val="clear" w:color="auto" w:fill="auto"/>
            <w:vAlign w:val="center"/>
          </w:tcPr>
          <w:p w:rsidR="00044CE8" w:rsidRPr="000833EA" w:rsidRDefault="00044CE8" w:rsidP="0079633B">
            <w:pPr>
              <w:jc w:val="left"/>
              <w:rPr>
                <w:rFonts w:ascii="宋体" w:hAnsi="宋体" w:cs="Arial" w:hint="eastAsia"/>
              </w:rPr>
            </w:pPr>
            <w:r w:rsidRPr="000833EA">
              <w:rPr>
                <w:rFonts w:ascii="宋体" w:hAnsi="宋体" w:hint="eastAsia"/>
              </w:rPr>
              <w:t>备注：包括</w:t>
            </w:r>
            <w:r w:rsidRPr="000833EA">
              <w:rPr>
                <w:rFonts w:ascii="宋体" w:hAnsi="宋体" w:cs="Arial" w:hint="eastAsia"/>
              </w:rPr>
              <w:t>PF支撑夹具部分的冷却管成型及焊接工作。</w:t>
            </w:r>
          </w:p>
          <w:p w:rsidR="00044CE8" w:rsidRPr="000833EA" w:rsidRDefault="00044CE8" w:rsidP="0079633B">
            <w:pPr>
              <w:jc w:val="left"/>
              <w:rPr>
                <w:rFonts w:ascii="宋体" w:hAnsi="宋体" w:cs="Arial"/>
              </w:rPr>
            </w:pPr>
            <w:r w:rsidRPr="000833EA">
              <w:rPr>
                <w:rFonts w:ascii="宋体" w:hAnsi="宋体" w:cs="Arial" w:hint="eastAsia"/>
              </w:rPr>
              <w:t xml:space="preserve">      包括原材料的低温检测。</w:t>
            </w:r>
          </w:p>
        </w:tc>
      </w:tr>
    </w:tbl>
    <w:p w:rsidR="00044CE8" w:rsidRPr="000833EA" w:rsidRDefault="00044CE8" w:rsidP="00044CE8">
      <w:pPr>
        <w:numPr>
          <w:ilvl w:val="0"/>
          <w:numId w:val="1"/>
        </w:numPr>
        <w:adjustRightInd w:val="0"/>
        <w:snapToGrid w:val="0"/>
        <w:spacing w:beforeLines="50" w:before="156" w:line="360" w:lineRule="auto"/>
        <w:rPr>
          <w:rFonts w:hint="eastAsia"/>
          <w:b/>
          <w:sz w:val="24"/>
        </w:rPr>
      </w:pPr>
      <w:bookmarkStart w:id="0" w:name="_Toc12010815"/>
      <w:bookmarkStart w:id="1" w:name="_Toc12010788"/>
      <w:bookmarkStart w:id="2" w:name="_Toc257021215"/>
      <w:bookmarkStart w:id="3" w:name="_Toc532807472"/>
      <w:bookmarkStart w:id="4" w:name="_Toc30409514"/>
      <w:bookmarkStart w:id="5" w:name="_Toc509153917"/>
      <w:r w:rsidRPr="000833EA">
        <w:rPr>
          <w:b/>
          <w:sz w:val="24"/>
        </w:rPr>
        <w:t>工程技术要求</w:t>
      </w:r>
      <w:bookmarkEnd w:id="0"/>
      <w:bookmarkEnd w:id="1"/>
      <w:bookmarkEnd w:id="2"/>
      <w:bookmarkEnd w:id="3"/>
      <w:bookmarkEnd w:id="4"/>
      <w:bookmarkEnd w:id="5"/>
    </w:p>
    <w:p w:rsidR="00044CE8" w:rsidRPr="000833EA" w:rsidRDefault="00044CE8" w:rsidP="00044CE8">
      <w:pPr>
        <w:pStyle w:val="1"/>
        <w:keepNext w:val="0"/>
        <w:keepLines w:val="0"/>
        <w:spacing w:before="163" w:line="240" w:lineRule="auto"/>
        <w:rPr>
          <w:sz w:val="24"/>
          <w:szCs w:val="24"/>
        </w:rPr>
      </w:pPr>
      <w:bookmarkStart w:id="6" w:name="_Toc43556772"/>
      <w:bookmarkStart w:id="7" w:name="_Toc32245"/>
      <w:r w:rsidRPr="000833EA">
        <w:rPr>
          <w:rFonts w:hint="eastAsia"/>
          <w:sz w:val="24"/>
          <w:szCs w:val="24"/>
        </w:rPr>
        <w:t>2.1</w:t>
      </w:r>
      <w:r w:rsidRPr="000833EA">
        <w:rPr>
          <w:rFonts w:hint="eastAsia"/>
          <w:sz w:val="24"/>
          <w:szCs w:val="24"/>
        </w:rPr>
        <w:t>简介</w:t>
      </w:r>
      <w:bookmarkEnd w:id="7"/>
    </w:p>
    <w:p w:rsidR="00044CE8" w:rsidRPr="000833EA" w:rsidRDefault="00044CE8" w:rsidP="00044CE8">
      <w:pPr>
        <w:spacing w:line="360" w:lineRule="auto"/>
        <w:ind w:firstLineChars="200" w:firstLine="480"/>
        <w:rPr>
          <w:rFonts w:ascii="宋体" w:hAnsi="宋体" w:hint="eastAsia"/>
          <w:sz w:val="24"/>
        </w:rPr>
      </w:pPr>
      <w:r w:rsidRPr="000833EA">
        <w:rPr>
          <w:rFonts w:ascii="宋体" w:hAnsi="宋体" w:hint="eastAsia"/>
          <w:sz w:val="24"/>
        </w:rPr>
        <w:t>PF磁体终端箱在聚变装置中扮演着至关重要的角色，起到在超导磁体与外部电源系统之间的电气连接作用。终端箱还需要提供对磁体结构的机械支撑，需要承受强大的磁场力和机械负荷。</w:t>
      </w:r>
    </w:p>
    <w:p w:rsidR="00044CE8" w:rsidRPr="000833EA" w:rsidRDefault="00044CE8" w:rsidP="00044CE8">
      <w:pPr>
        <w:spacing w:line="360" w:lineRule="auto"/>
        <w:ind w:firstLineChars="200" w:firstLine="420"/>
        <w:jc w:val="center"/>
        <w:rPr>
          <w:rFonts w:ascii="宋体" w:hAnsi="宋体" w:hint="eastAsia"/>
          <w:sz w:val="24"/>
        </w:rPr>
      </w:pPr>
      <w:r w:rsidRPr="000833EA">
        <w:rPr>
          <w:noProof/>
        </w:rPr>
        <w:drawing>
          <wp:inline distT="0" distB="0" distL="0" distR="0">
            <wp:extent cx="2247900" cy="12509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1250950"/>
                    </a:xfrm>
                    <a:prstGeom prst="rect">
                      <a:avLst/>
                    </a:prstGeom>
                    <a:noFill/>
                    <a:ln>
                      <a:noFill/>
                    </a:ln>
                  </pic:spPr>
                </pic:pic>
              </a:graphicData>
            </a:graphic>
          </wp:inline>
        </w:drawing>
      </w:r>
    </w:p>
    <w:p w:rsidR="00044CE8" w:rsidRPr="000833EA" w:rsidRDefault="00044CE8" w:rsidP="00044CE8">
      <w:pPr>
        <w:spacing w:line="360" w:lineRule="auto"/>
        <w:ind w:firstLineChars="200" w:firstLine="480"/>
        <w:jc w:val="center"/>
        <w:rPr>
          <w:rFonts w:ascii="宋体" w:hAnsi="宋体"/>
          <w:sz w:val="24"/>
        </w:rPr>
      </w:pPr>
      <w:r w:rsidRPr="000833EA">
        <w:rPr>
          <w:rFonts w:ascii="宋体" w:hAnsi="宋体"/>
          <w:sz w:val="24"/>
        </w:rPr>
        <w:tab/>
      </w:r>
      <w:r w:rsidRPr="000833EA">
        <w:rPr>
          <w:rFonts w:ascii="宋体" w:hAnsi="宋体" w:hint="eastAsia"/>
          <w:sz w:val="24"/>
        </w:rPr>
        <w:t>图1 PF磁体终端箱示意图</w:t>
      </w:r>
    </w:p>
    <w:p w:rsidR="00044CE8" w:rsidRPr="000833EA" w:rsidRDefault="00044CE8" w:rsidP="00044CE8">
      <w:pPr>
        <w:pStyle w:val="a3"/>
        <w:spacing w:line="360" w:lineRule="auto"/>
        <w:ind w:firstLine="480"/>
        <w:rPr>
          <w:rFonts w:ascii="宋体" w:hAnsi="宋体" w:hint="eastAsia"/>
          <w:sz w:val="24"/>
        </w:rPr>
      </w:pPr>
      <w:r w:rsidRPr="000833EA">
        <w:rPr>
          <w:rFonts w:ascii="宋体" w:hAnsi="宋体" w:hint="eastAsia"/>
          <w:sz w:val="24"/>
        </w:rPr>
        <w:t>PF磁体支撑在BEST装置中主要用于控制等离子体的位形和位移，保持平衡。PF磁体支撑结构还需要承受巨大的磁体自重和运行过程中产生的电磁力、热载荷以及可能的地震载荷。</w:t>
      </w:r>
    </w:p>
    <w:p w:rsidR="00044CE8" w:rsidRPr="000833EA" w:rsidRDefault="00044CE8" w:rsidP="00044CE8">
      <w:pPr>
        <w:spacing w:line="360" w:lineRule="auto"/>
        <w:ind w:firstLineChars="200" w:firstLine="420"/>
        <w:jc w:val="center"/>
        <w:rPr>
          <w:rFonts w:ascii="宋体" w:hAnsi="宋体" w:hint="eastAsia"/>
          <w:sz w:val="24"/>
        </w:rPr>
      </w:pPr>
      <w:r w:rsidRPr="000833EA">
        <w:rPr>
          <w:noProof/>
        </w:rPr>
        <w:drawing>
          <wp:inline distT="0" distB="0" distL="0" distR="0">
            <wp:extent cx="2108200" cy="11239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8200" cy="1123950"/>
                    </a:xfrm>
                    <a:prstGeom prst="rect">
                      <a:avLst/>
                    </a:prstGeom>
                    <a:noFill/>
                    <a:ln>
                      <a:noFill/>
                    </a:ln>
                  </pic:spPr>
                </pic:pic>
              </a:graphicData>
            </a:graphic>
          </wp:inline>
        </w:drawing>
      </w:r>
    </w:p>
    <w:p w:rsidR="00044CE8" w:rsidRPr="000833EA" w:rsidRDefault="00044CE8" w:rsidP="00044CE8">
      <w:pPr>
        <w:spacing w:line="360" w:lineRule="auto"/>
        <w:ind w:firstLineChars="200" w:firstLine="480"/>
        <w:jc w:val="center"/>
        <w:rPr>
          <w:rFonts w:hint="eastAsia"/>
        </w:rPr>
      </w:pPr>
      <w:r w:rsidRPr="000833EA">
        <w:rPr>
          <w:rFonts w:ascii="宋体" w:hAnsi="宋体" w:hint="eastAsia"/>
          <w:sz w:val="24"/>
        </w:rPr>
        <w:t xml:space="preserve">图2 </w:t>
      </w:r>
      <w:r w:rsidRPr="000833EA">
        <w:rPr>
          <w:rFonts w:hint="eastAsia"/>
        </w:rPr>
        <w:t>PF</w:t>
      </w:r>
      <w:r w:rsidRPr="000833EA">
        <w:rPr>
          <w:rFonts w:ascii="宋体" w:hAnsi="宋体" w:hint="eastAsia"/>
          <w:sz w:val="24"/>
        </w:rPr>
        <w:t>磁体支撑夹具结构示意图</w:t>
      </w:r>
    </w:p>
    <w:p w:rsidR="00044CE8" w:rsidRPr="000833EA" w:rsidRDefault="00044CE8" w:rsidP="00044CE8">
      <w:pPr>
        <w:pStyle w:val="a3"/>
        <w:spacing w:line="360" w:lineRule="auto"/>
        <w:ind w:firstLine="480"/>
        <w:rPr>
          <w:rFonts w:ascii="宋体" w:hAnsi="宋体" w:hint="eastAsia"/>
          <w:sz w:val="24"/>
        </w:rPr>
      </w:pPr>
      <w:r w:rsidRPr="000833EA">
        <w:rPr>
          <w:rFonts w:ascii="宋体" w:hAnsi="宋体" w:hint="eastAsia"/>
          <w:sz w:val="24"/>
        </w:rPr>
        <w:t>PF1/2/3/4磁体接头夹具的支撑板和接头</w:t>
      </w:r>
      <w:proofErr w:type="gramStart"/>
      <w:r w:rsidRPr="000833EA">
        <w:rPr>
          <w:rFonts w:ascii="宋体" w:hAnsi="宋体" w:hint="eastAsia"/>
          <w:sz w:val="24"/>
        </w:rPr>
        <w:t>垫块通过</w:t>
      </w:r>
      <w:proofErr w:type="gramEnd"/>
      <w:r w:rsidRPr="000833EA">
        <w:rPr>
          <w:rFonts w:ascii="宋体" w:hAnsi="宋体" w:hint="eastAsia"/>
          <w:sz w:val="24"/>
        </w:rPr>
        <w:t>螺栓连接，</w:t>
      </w:r>
      <w:proofErr w:type="gramStart"/>
      <w:r w:rsidRPr="000833EA">
        <w:rPr>
          <w:rFonts w:ascii="宋体" w:hAnsi="宋体" w:hint="eastAsia"/>
          <w:sz w:val="24"/>
        </w:rPr>
        <w:t>夹紧饼间接头</w:t>
      </w:r>
      <w:proofErr w:type="gramEnd"/>
      <w:r w:rsidRPr="000833EA">
        <w:rPr>
          <w:rFonts w:ascii="宋体" w:hAnsi="宋体" w:hint="eastAsia"/>
          <w:sz w:val="24"/>
        </w:rPr>
        <w:t>，再通过接头背板组件和缠绕</w:t>
      </w:r>
      <w:proofErr w:type="gramStart"/>
      <w:r w:rsidRPr="000833EA">
        <w:rPr>
          <w:rFonts w:ascii="宋体" w:hAnsi="宋体" w:hint="eastAsia"/>
          <w:sz w:val="24"/>
        </w:rPr>
        <w:t>带固定</w:t>
      </w:r>
      <w:proofErr w:type="gramEnd"/>
      <w:r w:rsidRPr="000833EA">
        <w:rPr>
          <w:rFonts w:ascii="宋体" w:hAnsi="宋体" w:hint="eastAsia"/>
          <w:sz w:val="24"/>
        </w:rPr>
        <w:t>在磁体上。保证了径向载荷能够传递到PF线</w:t>
      </w:r>
      <w:r w:rsidRPr="000833EA">
        <w:rPr>
          <w:rFonts w:ascii="宋体" w:hAnsi="宋体" w:hint="eastAsia"/>
          <w:sz w:val="24"/>
        </w:rPr>
        <w:lastRenderedPageBreak/>
        <w:t>圈上面，保证接头结构稳定，不被破坏。</w:t>
      </w:r>
    </w:p>
    <w:p w:rsidR="00044CE8" w:rsidRPr="000833EA" w:rsidRDefault="00044CE8" w:rsidP="00044CE8">
      <w:pPr>
        <w:pStyle w:val="a3"/>
        <w:spacing w:line="360" w:lineRule="auto"/>
        <w:jc w:val="center"/>
      </w:pPr>
      <w:r w:rsidRPr="000833EA">
        <w:rPr>
          <w:noProof/>
        </w:rPr>
        <w:drawing>
          <wp:inline distT="0" distB="0" distL="0" distR="0">
            <wp:extent cx="2393950" cy="2051050"/>
            <wp:effectExtent l="0" t="0" r="6350" b="6350"/>
            <wp:docPr id="1" name="图片 1" descr="接头夹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接头夹具"/>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3950" cy="2051050"/>
                    </a:xfrm>
                    <a:prstGeom prst="rect">
                      <a:avLst/>
                    </a:prstGeom>
                    <a:noFill/>
                    <a:ln>
                      <a:noFill/>
                    </a:ln>
                  </pic:spPr>
                </pic:pic>
              </a:graphicData>
            </a:graphic>
          </wp:inline>
        </w:drawing>
      </w:r>
    </w:p>
    <w:p w:rsidR="00044CE8" w:rsidRPr="000833EA" w:rsidRDefault="00044CE8" w:rsidP="00044CE8">
      <w:pPr>
        <w:pStyle w:val="a3"/>
        <w:spacing w:line="360" w:lineRule="auto"/>
        <w:jc w:val="center"/>
        <w:rPr>
          <w:rFonts w:hint="eastAsia"/>
        </w:rPr>
      </w:pPr>
      <w:r w:rsidRPr="000833EA">
        <w:rPr>
          <w:rFonts w:hint="eastAsia"/>
        </w:rPr>
        <w:t>图</w:t>
      </w:r>
      <w:r w:rsidRPr="000833EA">
        <w:rPr>
          <w:rFonts w:hint="eastAsia"/>
        </w:rPr>
        <w:t>2 PF</w:t>
      </w:r>
      <w:r w:rsidRPr="000833EA">
        <w:rPr>
          <w:rFonts w:hint="eastAsia"/>
        </w:rPr>
        <w:t>接头夹具结构示意图</w:t>
      </w:r>
    </w:p>
    <w:p w:rsidR="00044CE8" w:rsidRPr="000833EA" w:rsidRDefault="00044CE8" w:rsidP="00044CE8">
      <w:pPr>
        <w:spacing w:line="360" w:lineRule="auto"/>
        <w:ind w:firstLineChars="200" w:firstLine="480"/>
        <w:rPr>
          <w:rFonts w:ascii="宋体" w:hAnsi="宋体"/>
          <w:sz w:val="24"/>
        </w:rPr>
      </w:pPr>
      <w:r w:rsidRPr="000833EA">
        <w:rPr>
          <w:rFonts w:ascii="宋体" w:hAnsi="宋体" w:hint="eastAsia"/>
          <w:sz w:val="24"/>
        </w:rPr>
        <w:t>终端箱、磁体支撑夹具、PF1/2/3/4线圈接头夹具这三个关键部件的大部分构件都是由316LN不锈钢加工及焊接工艺制成，本项目采购主要内容就是这三个关键部件的不锈钢零部件，包括原材料、焊接、无损检测、加工以及清洗运输包装等。</w:t>
      </w:r>
    </w:p>
    <w:p w:rsidR="00044CE8" w:rsidRPr="000833EA" w:rsidRDefault="00044CE8" w:rsidP="00044CE8">
      <w:pPr>
        <w:pStyle w:val="1"/>
        <w:keepNext w:val="0"/>
        <w:keepLines w:val="0"/>
        <w:spacing w:before="163" w:line="240" w:lineRule="auto"/>
        <w:rPr>
          <w:sz w:val="24"/>
          <w:szCs w:val="24"/>
        </w:rPr>
      </w:pPr>
      <w:bookmarkStart w:id="8" w:name="_Toc3550"/>
      <w:bookmarkStart w:id="9" w:name="_Toc7884"/>
      <w:bookmarkStart w:id="10" w:name="_Toc6358"/>
      <w:r w:rsidRPr="000833EA">
        <w:rPr>
          <w:rFonts w:hint="eastAsia"/>
          <w:sz w:val="24"/>
          <w:szCs w:val="24"/>
        </w:rPr>
        <w:t>2.2</w:t>
      </w:r>
      <w:r w:rsidRPr="000833EA">
        <w:rPr>
          <w:sz w:val="24"/>
          <w:szCs w:val="24"/>
        </w:rPr>
        <w:t>范围</w:t>
      </w:r>
      <w:bookmarkEnd w:id="6"/>
      <w:bookmarkEnd w:id="8"/>
      <w:bookmarkEnd w:id="9"/>
      <w:bookmarkEnd w:id="10"/>
    </w:p>
    <w:p w:rsidR="00044CE8" w:rsidRPr="000833EA" w:rsidRDefault="00044CE8" w:rsidP="00044CE8">
      <w:pPr>
        <w:spacing w:line="360" w:lineRule="auto"/>
        <w:ind w:firstLineChars="200" w:firstLine="480"/>
        <w:rPr>
          <w:rFonts w:ascii="宋体" w:hAnsi="宋体"/>
          <w:sz w:val="24"/>
        </w:rPr>
      </w:pPr>
      <w:bookmarkStart w:id="11" w:name="_Toc6101"/>
      <w:bookmarkStart w:id="12" w:name="_Toc43556773"/>
      <w:bookmarkStart w:id="13" w:name="_Toc7905"/>
      <w:bookmarkStart w:id="14" w:name="_Toc2521"/>
      <w:r w:rsidRPr="000833EA">
        <w:rPr>
          <w:rFonts w:ascii="宋体" w:hAnsi="宋体" w:hint="eastAsia"/>
          <w:sz w:val="24"/>
        </w:rPr>
        <w:t>乙方需履行的工作范围为根据甲方提供的模型、图纸、BOM清单以及相关技术要求完成终端箱、磁体支撑夹具、PF1/2/3/4线圈接头夹具这三个关键部件不锈钢零部件的原材料采购、焊接、无损检测、加工以及清洗包装运输等。</w:t>
      </w:r>
    </w:p>
    <w:p w:rsidR="00044CE8" w:rsidRPr="000833EA" w:rsidRDefault="00044CE8" w:rsidP="00044CE8">
      <w:pPr>
        <w:pStyle w:val="1"/>
        <w:keepNext w:val="0"/>
        <w:keepLines w:val="0"/>
        <w:spacing w:before="163" w:line="240" w:lineRule="auto"/>
        <w:rPr>
          <w:sz w:val="24"/>
          <w:szCs w:val="24"/>
        </w:rPr>
      </w:pPr>
      <w:r w:rsidRPr="000833EA">
        <w:rPr>
          <w:rFonts w:hint="eastAsia"/>
          <w:sz w:val="24"/>
          <w:szCs w:val="24"/>
        </w:rPr>
        <w:t>2.3</w:t>
      </w:r>
      <w:r w:rsidRPr="000833EA">
        <w:rPr>
          <w:sz w:val="24"/>
          <w:szCs w:val="24"/>
        </w:rPr>
        <w:t>技术要求</w:t>
      </w:r>
      <w:bookmarkEnd w:id="11"/>
      <w:bookmarkEnd w:id="12"/>
      <w:bookmarkEnd w:id="13"/>
      <w:bookmarkEnd w:id="14"/>
    </w:p>
    <w:p w:rsidR="00044CE8" w:rsidRPr="000833EA" w:rsidRDefault="00044CE8" w:rsidP="00044CE8">
      <w:pPr>
        <w:rPr>
          <w:rFonts w:hint="eastAsia"/>
          <w:b/>
          <w:bCs/>
          <w:sz w:val="24"/>
        </w:rPr>
      </w:pPr>
      <w:r w:rsidRPr="000833EA">
        <w:rPr>
          <w:rFonts w:hint="eastAsia"/>
          <w:b/>
          <w:bCs/>
          <w:sz w:val="24"/>
        </w:rPr>
        <w:t>2.3.1</w:t>
      </w:r>
      <w:r w:rsidRPr="000833EA">
        <w:rPr>
          <w:rFonts w:hint="eastAsia"/>
          <w:b/>
          <w:bCs/>
          <w:sz w:val="24"/>
        </w:rPr>
        <w:t>材料要求</w:t>
      </w:r>
    </w:p>
    <w:p w:rsidR="00044CE8" w:rsidRPr="000833EA" w:rsidRDefault="00044CE8" w:rsidP="00044CE8">
      <w:pPr>
        <w:numPr>
          <w:ilvl w:val="0"/>
          <w:numId w:val="2"/>
        </w:numPr>
        <w:spacing w:line="360" w:lineRule="auto"/>
        <w:rPr>
          <w:rFonts w:hint="eastAsia"/>
          <w:sz w:val="24"/>
        </w:rPr>
      </w:pPr>
      <w:r w:rsidRPr="000833EA">
        <w:rPr>
          <w:rFonts w:hint="eastAsia"/>
          <w:sz w:val="24"/>
        </w:rPr>
        <w:t>成分必须满足表</w:t>
      </w:r>
      <w:r w:rsidRPr="000833EA">
        <w:rPr>
          <w:rFonts w:hint="eastAsia"/>
          <w:sz w:val="24"/>
        </w:rPr>
        <w:t>1</w:t>
      </w:r>
      <w:r w:rsidRPr="000833EA">
        <w:rPr>
          <w:rFonts w:hint="eastAsia"/>
          <w:sz w:val="24"/>
        </w:rPr>
        <w:t>的要求；</w:t>
      </w:r>
    </w:p>
    <w:p w:rsidR="00044CE8" w:rsidRPr="000833EA" w:rsidRDefault="00044CE8" w:rsidP="00044CE8">
      <w:pPr>
        <w:pStyle w:val="a3"/>
        <w:spacing w:line="360" w:lineRule="auto"/>
        <w:jc w:val="center"/>
      </w:pPr>
      <w:r w:rsidRPr="000833EA">
        <w:rPr>
          <w:rFonts w:hint="eastAsia"/>
        </w:rPr>
        <w:t>表</w:t>
      </w:r>
      <w:r w:rsidRPr="000833EA">
        <w:rPr>
          <w:rFonts w:hint="eastAsia"/>
        </w:rPr>
        <w:t>1</w:t>
      </w:r>
      <w:r w:rsidRPr="000833EA">
        <w:t>316LN</w:t>
      </w:r>
      <w:r w:rsidRPr="000833EA">
        <w:rPr>
          <w:rFonts w:hint="eastAsia"/>
        </w:rPr>
        <w:t>奥氏体不锈钢的成分表（质量百分比</w:t>
      </w:r>
      <w:r w:rsidRPr="000833EA">
        <w:rPr>
          <w:rFonts w:hint="eastAsia"/>
        </w:rPr>
        <w:t>%</w:t>
      </w:r>
      <w:r w:rsidRPr="000833EA">
        <w:rPr>
          <w:rFonts w:hint="eastAsia"/>
        </w:rPr>
        <w:t>）</w:t>
      </w:r>
    </w:p>
    <w:tbl>
      <w:tblPr>
        <w:tblW w:w="103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816"/>
        <w:gridCol w:w="851"/>
        <w:gridCol w:w="795"/>
        <w:gridCol w:w="858"/>
        <w:gridCol w:w="760"/>
        <w:gridCol w:w="711"/>
        <w:gridCol w:w="886"/>
        <w:gridCol w:w="812"/>
        <w:gridCol w:w="745"/>
        <w:gridCol w:w="776"/>
        <w:gridCol w:w="900"/>
        <w:gridCol w:w="697"/>
      </w:tblGrid>
      <w:tr w:rsidR="00044CE8" w:rsidRPr="000833EA" w:rsidTr="0079633B">
        <w:trPr>
          <w:trHeight w:val="200"/>
        </w:trPr>
        <w:tc>
          <w:tcPr>
            <w:tcW w:w="10380" w:type="dxa"/>
            <w:gridSpan w:val="13"/>
          </w:tcPr>
          <w:p w:rsidR="00044CE8" w:rsidRPr="000833EA" w:rsidRDefault="00044CE8" w:rsidP="0079633B">
            <w:pPr>
              <w:widowControl/>
              <w:spacing w:line="360" w:lineRule="auto"/>
              <w:jc w:val="center"/>
              <w:textAlignment w:val="top"/>
              <w:rPr>
                <w:rFonts w:ascii="Arial" w:hAnsi="Arial" w:cs="Arial"/>
                <w:sz w:val="18"/>
                <w:szCs w:val="18"/>
              </w:rPr>
            </w:pPr>
            <w:r w:rsidRPr="000833EA">
              <w:rPr>
                <w:rFonts w:ascii="Arial" w:hAnsi="Arial" w:cs="Arial"/>
                <w:kern w:val="0"/>
                <w:sz w:val="18"/>
                <w:szCs w:val="18"/>
                <w:lang w:bidi="ar"/>
              </w:rPr>
              <w:t>316LN</w:t>
            </w:r>
            <w:r w:rsidRPr="000833EA">
              <w:rPr>
                <w:rStyle w:val="font21"/>
                <w:rFonts w:hint="default"/>
                <w:color w:val="auto"/>
                <w:sz w:val="18"/>
                <w:szCs w:val="18"/>
                <w:lang w:bidi="ar"/>
              </w:rPr>
              <w:t>奥氏体不锈钢的成分表（质量百分比</w:t>
            </w:r>
            <w:r w:rsidRPr="000833EA">
              <w:rPr>
                <w:rStyle w:val="font01"/>
                <w:color w:val="auto"/>
                <w:sz w:val="18"/>
                <w:szCs w:val="18"/>
                <w:lang w:bidi="ar"/>
              </w:rPr>
              <w:t>%</w:t>
            </w:r>
            <w:r w:rsidRPr="000833EA">
              <w:rPr>
                <w:rStyle w:val="font21"/>
                <w:rFonts w:hint="default"/>
                <w:color w:val="auto"/>
                <w:sz w:val="18"/>
                <w:szCs w:val="18"/>
                <w:lang w:bidi="ar"/>
              </w:rPr>
              <w:t>）</w:t>
            </w:r>
          </w:p>
        </w:tc>
      </w:tr>
      <w:tr w:rsidR="00044CE8" w:rsidRPr="000833EA" w:rsidTr="0079633B">
        <w:trPr>
          <w:trHeight w:val="197"/>
        </w:trPr>
        <w:tc>
          <w:tcPr>
            <w:tcW w:w="773" w:type="dxa"/>
            <w:vAlign w:val="center"/>
          </w:tcPr>
          <w:p w:rsidR="00044CE8" w:rsidRPr="000833EA" w:rsidRDefault="00044CE8" w:rsidP="0079633B">
            <w:pPr>
              <w:widowControl/>
              <w:spacing w:line="360" w:lineRule="auto"/>
              <w:jc w:val="center"/>
              <w:textAlignment w:val="center"/>
              <w:rPr>
                <w:rFonts w:ascii="Arial" w:hAnsi="Arial" w:cs="Arial"/>
                <w:sz w:val="18"/>
                <w:szCs w:val="18"/>
              </w:rPr>
            </w:pPr>
            <w:r w:rsidRPr="000833EA">
              <w:rPr>
                <w:rStyle w:val="font31"/>
                <w:color w:val="auto"/>
                <w:sz w:val="18"/>
                <w:szCs w:val="18"/>
                <w:lang w:bidi="ar"/>
              </w:rPr>
              <w:t>Cr</w:t>
            </w:r>
          </w:p>
        </w:tc>
        <w:tc>
          <w:tcPr>
            <w:tcW w:w="816" w:type="dxa"/>
            <w:vAlign w:val="center"/>
          </w:tcPr>
          <w:p w:rsidR="00044CE8" w:rsidRPr="000833EA" w:rsidRDefault="00044CE8" w:rsidP="0079633B">
            <w:pPr>
              <w:widowControl/>
              <w:spacing w:line="360" w:lineRule="auto"/>
              <w:jc w:val="center"/>
              <w:textAlignment w:val="center"/>
              <w:rPr>
                <w:rFonts w:ascii="Arial" w:hAnsi="Arial" w:cs="Arial"/>
                <w:sz w:val="18"/>
                <w:szCs w:val="18"/>
              </w:rPr>
            </w:pPr>
            <w:r w:rsidRPr="000833EA">
              <w:rPr>
                <w:rStyle w:val="font31"/>
                <w:color w:val="auto"/>
                <w:sz w:val="18"/>
                <w:szCs w:val="18"/>
                <w:lang w:bidi="ar"/>
              </w:rPr>
              <w:t>Ni</w:t>
            </w:r>
          </w:p>
        </w:tc>
        <w:tc>
          <w:tcPr>
            <w:tcW w:w="851" w:type="dxa"/>
            <w:vAlign w:val="center"/>
          </w:tcPr>
          <w:p w:rsidR="00044CE8" w:rsidRPr="000833EA" w:rsidRDefault="00044CE8" w:rsidP="0079633B">
            <w:pPr>
              <w:widowControl/>
              <w:spacing w:line="360" w:lineRule="auto"/>
              <w:jc w:val="center"/>
              <w:textAlignment w:val="center"/>
              <w:rPr>
                <w:rFonts w:ascii="Arial" w:hAnsi="Arial" w:cs="Arial"/>
                <w:sz w:val="18"/>
                <w:szCs w:val="18"/>
              </w:rPr>
            </w:pPr>
            <w:r w:rsidRPr="000833EA">
              <w:rPr>
                <w:rStyle w:val="font31"/>
                <w:color w:val="auto"/>
                <w:sz w:val="18"/>
                <w:szCs w:val="18"/>
                <w:lang w:bidi="ar"/>
              </w:rPr>
              <w:t>C</w:t>
            </w:r>
          </w:p>
        </w:tc>
        <w:tc>
          <w:tcPr>
            <w:tcW w:w="795" w:type="dxa"/>
            <w:vAlign w:val="center"/>
          </w:tcPr>
          <w:p w:rsidR="00044CE8" w:rsidRPr="000833EA" w:rsidRDefault="00044CE8" w:rsidP="0079633B">
            <w:pPr>
              <w:widowControl/>
              <w:spacing w:line="360" w:lineRule="auto"/>
              <w:jc w:val="center"/>
              <w:textAlignment w:val="center"/>
              <w:rPr>
                <w:rFonts w:ascii="Arial" w:hAnsi="Arial" w:cs="Arial"/>
                <w:sz w:val="18"/>
                <w:szCs w:val="18"/>
              </w:rPr>
            </w:pPr>
            <w:r w:rsidRPr="000833EA">
              <w:rPr>
                <w:rStyle w:val="font31"/>
                <w:color w:val="auto"/>
                <w:sz w:val="18"/>
                <w:szCs w:val="18"/>
                <w:lang w:bidi="ar"/>
              </w:rPr>
              <w:t>Si</w:t>
            </w:r>
          </w:p>
        </w:tc>
        <w:tc>
          <w:tcPr>
            <w:tcW w:w="858" w:type="dxa"/>
            <w:vAlign w:val="center"/>
          </w:tcPr>
          <w:p w:rsidR="00044CE8" w:rsidRPr="000833EA" w:rsidRDefault="00044CE8" w:rsidP="0079633B">
            <w:pPr>
              <w:widowControl/>
              <w:spacing w:line="360" w:lineRule="auto"/>
              <w:jc w:val="center"/>
              <w:textAlignment w:val="center"/>
              <w:rPr>
                <w:rFonts w:ascii="Arial" w:hAnsi="Arial" w:cs="Arial"/>
                <w:sz w:val="18"/>
                <w:szCs w:val="18"/>
              </w:rPr>
            </w:pPr>
            <w:r w:rsidRPr="000833EA">
              <w:rPr>
                <w:rStyle w:val="font31"/>
                <w:color w:val="auto"/>
                <w:sz w:val="18"/>
                <w:szCs w:val="18"/>
                <w:lang w:bidi="ar"/>
              </w:rPr>
              <w:t>Mn</w:t>
            </w:r>
          </w:p>
        </w:tc>
        <w:tc>
          <w:tcPr>
            <w:tcW w:w="760" w:type="dxa"/>
            <w:vAlign w:val="center"/>
          </w:tcPr>
          <w:p w:rsidR="00044CE8" w:rsidRPr="000833EA" w:rsidRDefault="00044CE8" w:rsidP="0079633B">
            <w:pPr>
              <w:widowControl/>
              <w:spacing w:line="360" w:lineRule="auto"/>
              <w:jc w:val="center"/>
              <w:textAlignment w:val="center"/>
              <w:rPr>
                <w:rFonts w:ascii="Arial" w:hAnsi="Arial" w:cs="Arial"/>
                <w:sz w:val="18"/>
                <w:szCs w:val="18"/>
              </w:rPr>
            </w:pPr>
            <w:r w:rsidRPr="000833EA">
              <w:rPr>
                <w:rStyle w:val="font31"/>
                <w:color w:val="auto"/>
                <w:sz w:val="18"/>
                <w:szCs w:val="18"/>
                <w:lang w:bidi="ar"/>
              </w:rPr>
              <w:t>Mo</w:t>
            </w:r>
          </w:p>
        </w:tc>
        <w:tc>
          <w:tcPr>
            <w:tcW w:w="711" w:type="dxa"/>
            <w:vAlign w:val="center"/>
          </w:tcPr>
          <w:p w:rsidR="00044CE8" w:rsidRPr="000833EA" w:rsidRDefault="00044CE8" w:rsidP="0079633B">
            <w:pPr>
              <w:widowControl/>
              <w:spacing w:line="360" w:lineRule="auto"/>
              <w:jc w:val="center"/>
              <w:textAlignment w:val="center"/>
              <w:rPr>
                <w:rFonts w:ascii="Arial" w:hAnsi="Arial" w:cs="Arial"/>
                <w:sz w:val="18"/>
                <w:szCs w:val="18"/>
              </w:rPr>
            </w:pPr>
            <w:r w:rsidRPr="000833EA">
              <w:rPr>
                <w:rStyle w:val="font31"/>
                <w:color w:val="auto"/>
                <w:sz w:val="18"/>
                <w:szCs w:val="18"/>
                <w:lang w:bidi="ar"/>
              </w:rPr>
              <w:t>N</w:t>
            </w:r>
          </w:p>
        </w:tc>
        <w:tc>
          <w:tcPr>
            <w:tcW w:w="886" w:type="dxa"/>
            <w:vAlign w:val="center"/>
          </w:tcPr>
          <w:p w:rsidR="00044CE8" w:rsidRPr="000833EA" w:rsidRDefault="00044CE8" w:rsidP="0079633B">
            <w:pPr>
              <w:widowControl/>
              <w:spacing w:line="360" w:lineRule="auto"/>
              <w:jc w:val="center"/>
              <w:textAlignment w:val="center"/>
              <w:rPr>
                <w:rFonts w:ascii="Arial" w:hAnsi="Arial" w:cs="Arial"/>
                <w:sz w:val="18"/>
                <w:szCs w:val="18"/>
              </w:rPr>
            </w:pPr>
            <w:r w:rsidRPr="000833EA">
              <w:rPr>
                <w:rStyle w:val="font31"/>
                <w:color w:val="auto"/>
                <w:sz w:val="18"/>
                <w:szCs w:val="18"/>
                <w:lang w:bidi="ar"/>
              </w:rPr>
              <w:t>P</w:t>
            </w:r>
          </w:p>
        </w:tc>
        <w:tc>
          <w:tcPr>
            <w:tcW w:w="812" w:type="dxa"/>
            <w:vAlign w:val="center"/>
          </w:tcPr>
          <w:p w:rsidR="00044CE8" w:rsidRPr="000833EA" w:rsidRDefault="00044CE8" w:rsidP="0079633B">
            <w:pPr>
              <w:widowControl/>
              <w:spacing w:line="360" w:lineRule="auto"/>
              <w:jc w:val="center"/>
              <w:textAlignment w:val="center"/>
              <w:rPr>
                <w:rFonts w:ascii="Arial" w:hAnsi="Arial" w:cs="Arial"/>
                <w:sz w:val="18"/>
                <w:szCs w:val="18"/>
              </w:rPr>
            </w:pPr>
            <w:r w:rsidRPr="000833EA">
              <w:rPr>
                <w:rStyle w:val="font31"/>
                <w:color w:val="auto"/>
                <w:sz w:val="18"/>
                <w:szCs w:val="18"/>
                <w:lang w:bidi="ar"/>
              </w:rPr>
              <w:t>S</w:t>
            </w:r>
          </w:p>
        </w:tc>
        <w:tc>
          <w:tcPr>
            <w:tcW w:w="745" w:type="dxa"/>
            <w:vAlign w:val="center"/>
          </w:tcPr>
          <w:p w:rsidR="00044CE8" w:rsidRPr="000833EA" w:rsidRDefault="00044CE8" w:rsidP="0079633B">
            <w:pPr>
              <w:widowControl/>
              <w:spacing w:line="360" w:lineRule="auto"/>
              <w:jc w:val="center"/>
              <w:textAlignment w:val="center"/>
              <w:rPr>
                <w:rFonts w:ascii="Arial" w:hAnsi="Arial" w:cs="Arial"/>
                <w:sz w:val="18"/>
                <w:szCs w:val="18"/>
              </w:rPr>
            </w:pPr>
            <w:r w:rsidRPr="000833EA">
              <w:rPr>
                <w:rStyle w:val="font31"/>
                <w:color w:val="auto"/>
                <w:sz w:val="18"/>
                <w:szCs w:val="18"/>
                <w:lang w:bidi="ar"/>
              </w:rPr>
              <w:t>Co</w:t>
            </w:r>
          </w:p>
        </w:tc>
        <w:tc>
          <w:tcPr>
            <w:tcW w:w="776" w:type="dxa"/>
            <w:vAlign w:val="center"/>
          </w:tcPr>
          <w:p w:rsidR="00044CE8" w:rsidRPr="000833EA" w:rsidRDefault="00044CE8" w:rsidP="0079633B">
            <w:pPr>
              <w:widowControl/>
              <w:spacing w:line="360" w:lineRule="auto"/>
              <w:jc w:val="center"/>
              <w:textAlignment w:val="center"/>
              <w:rPr>
                <w:rFonts w:ascii="Arial" w:hAnsi="Arial" w:cs="Arial"/>
                <w:sz w:val="18"/>
                <w:szCs w:val="18"/>
              </w:rPr>
            </w:pPr>
            <w:proofErr w:type="spellStart"/>
            <w:r w:rsidRPr="000833EA">
              <w:rPr>
                <w:rStyle w:val="font31"/>
                <w:color w:val="auto"/>
                <w:sz w:val="18"/>
                <w:szCs w:val="18"/>
                <w:lang w:bidi="ar"/>
              </w:rPr>
              <w:t>Nb</w:t>
            </w:r>
            <w:proofErr w:type="spellEnd"/>
          </w:p>
        </w:tc>
        <w:tc>
          <w:tcPr>
            <w:tcW w:w="900" w:type="dxa"/>
            <w:vAlign w:val="center"/>
          </w:tcPr>
          <w:p w:rsidR="00044CE8" w:rsidRPr="000833EA" w:rsidRDefault="00044CE8" w:rsidP="0079633B">
            <w:pPr>
              <w:widowControl/>
              <w:spacing w:line="360" w:lineRule="auto"/>
              <w:jc w:val="center"/>
              <w:textAlignment w:val="center"/>
              <w:rPr>
                <w:rFonts w:ascii="Arial" w:hAnsi="Arial" w:cs="Arial"/>
                <w:sz w:val="18"/>
                <w:szCs w:val="18"/>
              </w:rPr>
            </w:pPr>
            <w:r w:rsidRPr="000833EA">
              <w:rPr>
                <w:rStyle w:val="font31"/>
                <w:color w:val="auto"/>
                <w:sz w:val="18"/>
                <w:szCs w:val="18"/>
                <w:lang w:bidi="ar"/>
              </w:rPr>
              <w:t>B</w:t>
            </w:r>
          </w:p>
        </w:tc>
        <w:tc>
          <w:tcPr>
            <w:tcW w:w="697" w:type="dxa"/>
            <w:vAlign w:val="center"/>
          </w:tcPr>
          <w:p w:rsidR="00044CE8" w:rsidRPr="000833EA" w:rsidRDefault="00044CE8" w:rsidP="0079633B">
            <w:pPr>
              <w:widowControl/>
              <w:spacing w:line="360" w:lineRule="auto"/>
              <w:jc w:val="center"/>
              <w:textAlignment w:val="center"/>
              <w:rPr>
                <w:rFonts w:ascii="Arial" w:hAnsi="Arial" w:cs="Arial"/>
                <w:sz w:val="18"/>
                <w:szCs w:val="18"/>
              </w:rPr>
            </w:pPr>
            <w:r w:rsidRPr="000833EA">
              <w:rPr>
                <w:rStyle w:val="font31"/>
                <w:color w:val="auto"/>
                <w:sz w:val="18"/>
                <w:szCs w:val="18"/>
                <w:lang w:bidi="ar"/>
              </w:rPr>
              <w:t>Fe</w:t>
            </w:r>
          </w:p>
        </w:tc>
      </w:tr>
      <w:tr w:rsidR="00044CE8" w:rsidRPr="000833EA" w:rsidTr="0079633B">
        <w:trPr>
          <w:trHeight w:val="353"/>
        </w:trPr>
        <w:tc>
          <w:tcPr>
            <w:tcW w:w="773" w:type="dxa"/>
            <w:vAlign w:val="center"/>
          </w:tcPr>
          <w:p w:rsidR="00044CE8" w:rsidRPr="000833EA" w:rsidRDefault="00044CE8" w:rsidP="0079633B">
            <w:pPr>
              <w:widowControl/>
              <w:spacing w:line="360" w:lineRule="auto"/>
              <w:jc w:val="left"/>
              <w:textAlignment w:val="center"/>
              <w:rPr>
                <w:rFonts w:ascii="Arial" w:hAnsi="Arial" w:cs="Arial"/>
                <w:sz w:val="18"/>
                <w:szCs w:val="18"/>
              </w:rPr>
            </w:pPr>
            <w:r w:rsidRPr="000833EA">
              <w:rPr>
                <w:rStyle w:val="font31"/>
                <w:color w:val="auto"/>
                <w:sz w:val="18"/>
                <w:szCs w:val="18"/>
                <w:lang w:bidi="ar"/>
              </w:rPr>
              <w:t>16.0-18.5</w:t>
            </w:r>
          </w:p>
        </w:tc>
        <w:tc>
          <w:tcPr>
            <w:tcW w:w="816" w:type="dxa"/>
            <w:vAlign w:val="center"/>
          </w:tcPr>
          <w:p w:rsidR="00044CE8" w:rsidRPr="000833EA" w:rsidRDefault="00044CE8" w:rsidP="0079633B">
            <w:pPr>
              <w:widowControl/>
              <w:spacing w:line="360" w:lineRule="auto"/>
              <w:jc w:val="left"/>
              <w:textAlignment w:val="center"/>
              <w:rPr>
                <w:rFonts w:ascii="Arial" w:hAnsi="Arial" w:cs="Arial"/>
                <w:sz w:val="18"/>
                <w:szCs w:val="18"/>
              </w:rPr>
            </w:pPr>
            <w:r w:rsidRPr="000833EA">
              <w:rPr>
                <w:rStyle w:val="font31"/>
                <w:color w:val="auto"/>
                <w:sz w:val="18"/>
                <w:szCs w:val="18"/>
                <w:lang w:bidi="ar"/>
              </w:rPr>
              <w:t>10.0-14.0</w:t>
            </w:r>
          </w:p>
        </w:tc>
        <w:tc>
          <w:tcPr>
            <w:tcW w:w="851" w:type="dxa"/>
            <w:vAlign w:val="center"/>
          </w:tcPr>
          <w:p w:rsidR="00044CE8" w:rsidRPr="000833EA" w:rsidRDefault="00044CE8" w:rsidP="0079633B">
            <w:pPr>
              <w:widowControl/>
              <w:spacing w:line="360" w:lineRule="auto"/>
              <w:jc w:val="left"/>
              <w:textAlignment w:val="center"/>
              <w:rPr>
                <w:rFonts w:ascii="Arial" w:hAnsi="Arial" w:cs="Arial"/>
                <w:sz w:val="18"/>
                <w:szCs w:val="18"/>
              </w:rPr>
            </w:pPr>
            <w:r w:rsidRPr="000833EA">
              <w:rPr>
                <w:rStyle w:val="font31"/>
                <w:color w:val="auto"/>
                <w:sz w:val="18"/>
                <w:szCs w:val="18"/>
                <w:lang w:bidi="ar"/>
              </w:rPr>
              <w:t>≤0.03</w:t>
            </w:r>
          </w:p>
        </w:tc>
        <w:tc>
          <w:tcPr>
            <w:tcW w:w="795" w:type="dxa"/>
            <w:vAlign w:val="center"/>
          </w:tcPr>
          <w:p w:rsidR="00044CE8" w:rsidRPr="000833EA" w:rsidRDefault="00044CE8" w:rsidP="0079633B">
            <w:pPr>
              <w:widowControl/>
              <w:spacing w:line="360" w:lineRule="auto"/>
              <w:jc w:val="left"/>
              <w:textAlignment w:val="center"/>
              <w:rPr>
                <w:rFonts w:ascii="Arial" w:hAnsi="Arial" w:cs="Arial"/>
                <w:sz w:val="18"/>
                <w:szCs w:val="18"/>
              </w:rPr>
            </w:pPr>
            <w:r w:rsidRPr="000833EA">
              <w:rPr>
                <w:rStyle w:val="font31"/>
                <w:color w:val="auto"/>
                <w:sz w:val="18"/>
                <w:szCs w:val="18"/>
                <w:lang w:bidi="ar"/>
              </w:rPr>
              <w:t>≤1.0</w:t>
            </w:r>
          </w:p>
        </w:tc>
        <w:tc>
          <w:tcPr>
            <w:tcW w:w="858" w:type="dxa"/>
            <w:vAlign w:val="center"/>
          </w:tcPr>
          <w:p w:rsidR="00044CE8" w:rsidRPr="000833EA" w:rsidRDefault="00044CE8" w:rsidP="0079633B">
            <w:pPr>
              <w:widowControl/>
              <w:spacing w:line="360" w:lineRule="auto"/>
              <w:jc w:val="left"/>
              <w:textAlignment w:val="center"/>
              <w:rPr>
                <w:rFonts w:ascii="Arial" w:hAnsi="Arial" w:cs="Arial"/>
                <w:sz w:val="18"/>
                <w:szCs w:val="18"/>
              </w:rPr>
            </w:pPr>
            <w:r w:rsidRPr="000833EA">
              <w:rPr>
                <w:rStyle w:val="font31"/>
                <w:color w:val="auto"/>
                <w:sz w:val="18"/>
                <w:szCs w:val="18"/>
                <w:lang w:bidi="ar"/>
              </w:rPr>
              <w:t>≤2.00</w:t>
            </w:r>
          </w:p>
        </w:tc>
        <w:tc>
          <w:tcPr>
            <w:tcW w:w="760" w:type="dxa"/>
            <w:vAlign w:val="center"/>
          </w:tcPr>
          <w:p w:rsidR="00044CE8" w:rsidRPr="000833EA" w:rsidRDefault="00044CE8" w:rsidP="0079633B">
            <w:pPr>
              <w:widowControl/>
              <w:spacing w:line="360" w:lineRule="auto"/>
              <w:jc w:val="left"/>
              <w:textAlignment w:val="center"/>
              <w:rPr>
                <w:rFonts w:ascii="Arial" w:hAnsi="Arial" w:cs="Arial"/>
                <w:sz w:val="18"/>
                <w:szCs w:val="18"/>
              </w:rPr>
            </w:pPr>
            <w:r w:rsidRPr="000833EA">
              <w:rPr>
                <w:rStyle w:val="font31"/>
                <w:color w:val="auto"/>
                <w:sz w:val="18"/>
                <w:szCs w:val="18"/>
                <w:lang w:bidi="ar"/>
              </w:rPr>
              <w:t>2.00-3.00</w:t>
            </w:r>
          </w:p>
        </w:tc>
        <w:tc>
          <w:tcPr>
            <w:tcW w:w="711" w:type="dxa"/>
            <w:vAlign w:val="center"/>
          </w:tcPr>
          <w:p w:rsidR="00044CE8" w:rsidRPr="000833EA" w:rsidRDefault="00044CE8" w:rsidP="0079633B">
            <w:pPr>
              <w:widowControl/>
              <w:spacing w:line="360" w:lineRule="auto"/>
              <w:jc w:val="left"/>
              <w:textAlignment w:val="center"/>
              <w:rPr>
                <w:rFonts w:ascii="Arial" w:hAnsi="Arial" w:cs="Arial"/>
                <w:sz w:val="18"/>
                <w:szCs w:val="18"/>
              </w:rPr>
            </w:pPr>
            <w:r w:rsidRPr="000833EA">
              <w:rPr>
                <w:rStyle w:val="font31"/>
                <w:color w:val="auto"/>
                <w:sz w:val="18"/>
                <w:szCs w:val="18"/>
                <w:lang w:bidi="ar"/>
              </w:rPr>
              <w:t>0.15-0.22</w:t>
            </w:r>
          </w:p>
        </w:tc>
        <w:tc>
          <w:tcPr>
            <w:tcW w:w="886" w:type="dxa"/>
            <w:vAlign w:val="center"/>
          </w:tcPr>
          <w:p w:rsidR="00044CE8" w:rsidRPr="000833EA" w:rsidRDefault="00044CE8" w:rsidP="0079633B">
            <w:pPr>
              <w:widowControl/>
              <w:spacing w:line="360" w:lineRule="auto"/>
              <w:jc w:val="left"/>
              <w:textAlignment w:val="center"/>
              <w:rPr>
                <w:rFonts w:ascii="Arial" w:hAnsi="Arial" w:cs="Arial"/>
                <w:sz w:val="18"/>
                <w:szCs w:val="18"/>
              </w:rPr>
            </w:pPr>
            <w:r w:rsidRPr="000833EA">
              <w:rPr>
                <w:rStyle w:val="font31"/>
                <w:color w:val="auto"/>
                <w:sz w:val="18"/>
                <w:szCs w:val="18"/>
                <w:lang w:bidi="ar"/>
              </w:rPr>
              <w:t>≤0.03</w:t>
            </w:r>
          </w:p>
        </w:tc>
        <w:tc>
          <w:tcPr>
            <w:tcW w:w="812" w:type="dxa"/>
            <w:vAlign w:val="center"/>
          </w:tcPr>
          <w:p w:rsidR="00044CE8" w:rsidRPr="000833EA" w:rsidRDefault="00044CE8" w:rsidP="0079633B">
            <w:pPr>
              <w:widowControl/>
              <w:spacing w:line="360" w:lineRule="auto"/>
              <w:jc w:val="left"/>
              <w:textAlignment w:val="center"/>
              <w:rPr>
                <w:rFonts w:ascii="Arial" w:hAnsi="Arial" w:cs="Arial"/>
                <w:sz w:val="18"/>
                <w:szCs w:val="18"/>
              </w:rPr>
            </w:pPr>
            <w:r w:rsidRPr="000833EA">
              <w:rPr>
                <w:rStyle w:val="font31"/>
                <w:color w:val="auto"/>
                <w:sz w:val="18"/>
                <w:szCs w:val="18"/>
                <w:lang w:bidi="ar"/>
              </w:rPr>
              <w:t>≤0.02</w:t>
            </w:r>
          </w:p>
        </w:tc>
        <w:tc>
          <w:tcPr>
            <w:tcW w:w="745" w:type="dxa"/>
            <w:vAlign w:val="center"/>
          </w:tcPr>
          <w:p w:rsidR="00044CE8" w:rsidRPr="000833EA" w:rsidRDefault="00044CE8" w:rsidP="0079633B">
            <w:pPr>
              <w:widowControl/>
              <w:spacing w:line="360" w:lineRule="auto"/>
              <w:jc w:val="left"/>
              <w:textAlignment w:val="center"/>
              <w:rPr>
                <w:rFonts w:ascii="Arial" w:hAnsi="Arial" w:cs="Arial"/>
                <w:sz w:val="18"/>
                <w:szCs w:val="18"/>
              </w:rPr>
            </w:pPr>
            <w:r w:rsidRPr="000833EA">
              <w:rPr>
                <w:rStyle w:val="font31"/>
                <w:color w:val="auto"/>
                <w:sz w:val="18"/>
                <w:szCs w:val="18"/>
                <w:lang w:bidi="ar"/>
              </w:rPr>
              <w:t>≤0.3</w:t>
            </w:r>
          </w:p>
        </w:tc>
        <w:tc>
          <w:tcPr>
            <w:tcW w:w="776" w:type="dxa"/>
            <w:vAlign w:val="center"/>
          </w:tcPr>
          <w:p w:rsidR="00044CE8" w:rsidRPr="000833EA" w:rsidRDefault="00044CE8" w:rsidP="0079633B">
            <w:pPr>
              <w:widowControl/>
              <w:spacing w:line="360" w:lineRule="auto"/>
              <w:jc w:val="left"/>
              <w:textAlignment w:val="center"/>
              <w:rPr>
                <w:rFonts w:ascii="Arial" w:hAnsi="Arial" w:cs="Arial"/>
                <w:sz w:val="18"/>
                <w:szCs w:val="18"/>
              </w:rPr>
            </w:pPr>
            <w:r w:rsidRPr="000833EA">
              <w:rPr>
                <w:rStyle w:val="font31"/>
                <w:color w:val="auto"/>
                <w:sz w:val="18"/>
                <w:szCs w:val="18"/>
                <w:lang w:bidi="ar"/>
              </w:rPr>
              <w:t>≤0.1</w:t>
            </w:r>
          </w:p>
        </w:tc>
        <w:tc>
          <w:tcPr>
            <w:tcW w:w="900" w:type="dxa"/>
            <w:vAlign w:val="center"/>
          </w:tcPr>
          <w:p w:rsidR="00044CE8" w:rsidRPr="000833EA" w:rsidRDefault="00044CE8" w:rsidP="0079633B">
            <w:pPr>
              <w:widowControl/>
              <w:spacing w:line="360" w:lineRule="auto"/>
              <w:jc w:val="left"/>
              <w:textAlignment w:val="center"/>
              <w:rPr>
                <w:rFonts w:ascii="Arial" w:hAnsi="Arial" w:cs="Arial"/>
                <w:sz w:val="18"/>
                <w:szCs w:val="18"/>
              </w:rPr>
            </w:pPr>
            <w:r w:rsidRPr="000833EA">
              <w:rPr>
                <w:rStyle w:val="font31"/>
                <w:color w:val="auto"/>
                <w:sz w:val="18"/>
                <w:szCs w:val="18"/>
                <w:lang w:bidi="ar"/>
              </w:rPr>
              <w:t>≤0.03</w:t>
            </w:r>
          </w:p>
        </w:tc>
        <w:tc>
          <w:tcPr>
            <w:tcW w:w="697" w:type="dxa"/>
            <w:vAlign w:val="center"/>
          </w:tcPr>
          <w:p w:rsidR="00044CE8" w:rsidRPr="000833EA" w:rsidRDefault="00044CE8" w:rsidP="0079633B">
            <w:pPr>
              <w:widowControl/>
              <w:spacing w:line="360" w:lineRule="auto"/>
              <w:jc w:val="left"/>
              <w:textAlignment w:val="center"/>
              <w:rPr>
                <w:rFonts w:ascii="Arial" w:hAnsi="Arial" w:cs="Arial"/>
                <w:sz w:val="18"/>
                <w:szCs w:val="18"/>
              </w:rPr>
            </w:pPr>
            <w:r w:rsidRPr="000833EA">
              <w:rPr>
                <w:rStyle w:val="font31"/>
                <w:color w:val="auto"/>
                <w:sz w:val="18"/>
                <w:szCs w:val="18"/>
                <w:lang w:bidi="ar"/>
              </w:rPr>
              <w:t>其余</w:t>
            </w:r>
          </w:p>
        </w:tc>
      </w:tr>
    </w:tbl>
    <w:p w:rsidR="00044CE8" w:rsidRPr="000833EA" w:rsidRDefault="00044CE8" w:rsidP="00044CE8">
      <w:pPr>
        <w:spacing w:line="360" w:lineRule="auto"/>
        <w:rPr>
          <w:rFonts w:hint="eastAsia"/>
          <w:sz w:val="24"/>
        </w:rPr>
      </w:pPr>
    </w:p>
    <w:p w:rsidR="00044CE8" w:rsidRPr="000833EA" w:rsidRDefault="00044CE8" w:rsidP="00044CE8">
      <w:pPr>
        <w:numPr>
          <w:ilvl w:val="0"/>
          <w:numId w:val="2"/>
        </w:numPr>
        <w:spacing w:line="360" w:lineRule="auto"/>
        <w:rPr>
          <w:rFonts w:hint="eastAsia"/>
          <w:sz w:val="24"/>
        </w:rPr>
      </w:pPr>
      <w:r w:rsidRPr="000833EA">
        <w:rPr>
          <w:rFonts w:hint="eastAsia"/>
          <w:sz w:val="24"/>
        </w:rPr>
        <w:t>等效晶粒度大小要求根据标准</w:t>
      </w:r>
      <w:r w:rsidRPr="000833EA">
        <w:rPr>
          <w:rFonts w:hint="eastAsia"/>
          <w:sz w:val="24"/>
        </w:rPr>
        <w:t xml:space="preserve"> GB/T 6394</w:t>
      </w:r>
      <w:r w:rsidRPr="000833EA">
        <w:rPr>
          <w:rFonts w:hint="eastAsia"/>
          <w:sz w:val="24"/>
        </w:rPr>
        <w:t>来确定，晶粒尺寸应在±</w:t>
      </w:r>
      <w:r w:rsidRPr="000833EA">
        <w:rPr>
          <w:rFonts w:hint="eastAsia"/>
          <w:sz w:val="24"/>
        </w:rPr>
        <w:t>1</w:t>
      </w:r>
      <w:r w:rsidRPr="000833EA">
        <w:rPr>
          <w:rFonts w:hint="eastAsia"/>
          <w:sz w:val="24"/>
        </w:rPr>
        <w:t>等效晶粒数的范围内，</w:t>
      </w:r>
      <w:r w:rsidRPr="000833EA">
        <w:rPr>
          <w:rFonts w:hint="eastAsia"/>
          <w:sz w:val="24"/>
        </w:rPr>
        <w:t>T</w:t>
      </w:r>
      <w:r w:rsidRPr="000833EA">
        <w:rPr>
          <w:rFonts w:hint="eastAsia"/>
          <w:sz w:val="24"/>
        </w:rPr>
        <w:t>≤</w:t>
      </w:r>
      <w:r w:rsidRPr="000833EA">
        <w:rPr>
          <w:rFonts w:hint="eastAsia"/>
          <w:sz w:val="24"/>
        </w:rPr>
        <w:t>100mm</w:t>
      </w:r>
      <w:r w:rsidRPr="000833EA">
        <w:rPr>
          <w:rFonts w:hint="eastAsia"/>
          <w:sz w:val="24"/>
        </w:rPr>
        <w:t>晶粒度数≥</w:t>
      </w:r>
      <w:r w:rsidRPr="000833EA">
        <w:rPr>
          <w:rFonts w:hint="eastAsia"/>
          <w:sz w:val="24"/>
        </w:rPr>
        <w:t>4</w:t>
      </w:r>
      <w:r w:rsidRPr="000833EA">
        <w:rPr>
          <w:rFonts w:hint="eastAsia"/>
          <w:sz w:val="24"/>
        </w:rPr>
        <w:t>；</w:t>
      </w:r>
      <w:r w:rsidRPr="000833EA">
        <w:rPr>
          <w:rFonts w:hint="eastAsia"/>
          <w:sz w:val="24"/>
        </w:rPr>
        <w:t>T&gt;100mm</w:t>
      </w:r>
      <w:r w:rsidRPr="000833EA">
        <w:rPr>
          <w:rFonts w:hint="eastAsia"/>
          <w:sz w:val="24"/>
        </w:rPr>
        <w:t>晶粒度数≥</w:t>
      </w:r>
      <w:r w:rsidRPr="000833EA">
        <w:rPr>
          <w:rFonts w:hint="eastAsia"/>
          <w:sz w:val="24"/>
        </w:rPr>
        <w:t>2</w:t>
      </w:r>
      <w:r w:rsidRPr="000833EA">
        <w:rPr>
          <w:rFonts w:hint="eastAsia"/>
          <w:sz w:val="24"/>
        </w:rPr>
        <w:t>；</w:t>
      </w:r>
    </w:p>
    <w:p w:rsidR="00044CE8" w:rsidRPr="000833EA" w:rsidRDefault="00044CE8" w:rsidP="00044CE8">
      <w:pPr>
        <w:numPr>
          <w:ilvl w:val="0"/>
          <w:numId w:val="2"/>
        </w:numPr>
        <w:spacing w:line="360" w:lineRule="auto"/>
        <w:rPr>
          <w:rFonts w:hint="eastAsia"/>
          <w:sz w:val="24"/>
        </w:rPr>
      </w:pPr>
      <w:r w:rsidRPr="000833EA">
        <w:rPr>
          <w:rFonts w:hint="eastAsia"/>
          <w:sz w:val="24"/>
        </w:rPr>
        <w:t>依据</w:t>
      </w:r>
      <w:r w:rsidRPr="000833EA">
        <w:rPr>
          <w:rFonts w:hint="eastAsia"/>
          <w:sz w:val="24"/>
        </w:rPr>
        <w:t xml:space="preserve"> JIS Z3119</w:t>
      </w:r>
      <w:r w:rsidRPr="000833EA">
        <w:rPr>
          <w:rFonts w:hint="eastAsia"/>
          <w:sz w:val="24"/>
        </w:rPr>
        <w:t>，材料要在</w:t>
      </w:r>
      <w:r w:rsidRPr="000833EA">
        <w:rPr>
          <w:rFonts w:hint="eastAsia"/>
          <w:sz w:val="24"/>
        </w:rPr>
        <w:t xml:space="preserve"> Delong </w:t>
      </w:r>
      <w:r w:rsidRPr="000833EA">
        <w:rPr>
          <w:rFonts w:hint="eastAsia"/>
          <w:sz w:val="24"/>
        </w:rPr>
        <w:t>图（</w:t>
      </w:r>
      <w:r w:rsidRPr="000833EA">
        <w:rPr>
          <w:rFonts w:hint="eastAsia"/>
          <w:sz w:val="24"/>
        </w:rPr>
        <w:t>JIS Z3119</w:t>
      </w:r>
      <w:r w:rsidRPr="000833EA">
        <w:rPr>
          <w:rFonts w:hint="eastAsia"/>
          <w:sz w:val="24"/>
        </w:rPr>
        <w:t>图</w:t>
      </w:r>
      <w:r w:rsidRPr="000833EA">
        <w:rPr>
          <w:rFonts w:hint="eastAsia"/>
          <w:sz w:val="24"/>
        </w:rPr>
        <w:t xml:space="preserve"> 2</w:t>
      </w:r>
      <w:r w:rsidRPr="000833EA">
        <w:rPr>
          <w:rFonts w:hint="eastAsia"/>
          <w:sz w:val="24"/>
        </w:rPr>
        <w:t>）上</w:t>
      </w:r>
      <w:r w:rsidRPr="000833EA">
        <w:rPr>
          <w:rFonts w:hint="eastAsia"/>
          <w:sz w:val="24"/>
        </w:rPr>
        <w:t>0%</w:t>
      </w:r>
      <w:r w:rsidRPr="000833EA">
        <w:rPr>
          <w:rFonts w:hint="eastAsia"/>
          <w:sz w:val="24"/>
        </w:rPr>
        <w:t>铁素体线之上的奥氏体区域。并依据</w:t>
      </w:r>
      <w:r w:rsidRPr="000833EA">
        <w:rPr>
          <w:rFonts w:hint="eastAsia"/>
          <w:sz w:val="24"/>
        </w:rPr>
        <w:t xml:space="preserve"> GB/T 13305(</w:t>
      </w:r>
      <w:r w:rsidRPr="000833EA">
        <w:rPr>
          <w:rFonts w:hint="eastAsia"/>
          <w:sz w:val="24"/>
        </w:rPr>
        <w:t>或</w:t>
      </w:r>
      <w:r w:rsidRPr="000833EA">
        <w:rPr>
          <w:rFonts w:hint="eastAsia"/>
          <w:sz w:val="24"/>
        </w:rPr>
        <w:t xml:space="preserve"> ASTM E562)</w:t>
      </w:r>
      <w:r w:rsidRPr="000833EA">
        <w:rPr>
          <w:rFonts w:hint="eastAsia"/>
          <w:sz w:val="24"/>
        </w:rPr>
        <w:t>，在显微镜一定放大倍数下观察，不能看到任何铁素体和σ相；</w:t>
      </w:r>
    </w:p>
    <w:p w:rsidR="00044CE8" w:rsidRPr="000833EA" w:rsidRDefault="00044CE8" w:rsidP="00044CE8">
      <w:pPr>
        <w:numPr>
          <w:ilvl w:val="0"/>
          <w:numId w:val="2"/>
        </w:numPr>
        <w:spacing w:line="360" w:lineRule="auto"/>
        <w:rPr>
          <w:rFonts w:hint="eastAsia"/>
          <w:sz w:val="24"/>
        </w:rPr>
      </w:pPr>
      <w:r w:rsidRPr="000833EA">
        <w:rPr>
          <w:rFonts w:hint="eastAsia"/>
          <w:sz w:val="24"/>
        </w:rPr>
        <w:t>每批夹杂物的数量和定义应遵循</w:t>
      </w:r>
      <w:r w:rsidRPr="000833EA">
        <w:rPr>
          <w:rFonts w:hint="eastAsia"/>
          <w:sz w:val="24"/>
        </w:rPr>
        <w:t>ASTM E45</w:t>
      </w:r>
      <w:r w:rsidRPr="000833EA">
        <w:rPr>
          <w:rFonts w:hint="eastAsia"/>
          <w:sz w:val="24"/>
        </w:rPr>
        <w:t>的方法</w:t>
      </w:r>
      <w:r w:rsidRPr="000833EA">
        <w:rPr>
          <w:rFonts w:hint="eastAsia"/>
          <w:sz w:val="24"/>
        </w:rPr>
        <w:t>D</w:t>
      </w:r>
      <w:r w:rsidRPr="000833EA">
        <w:rPr>
          <w:rFonts w:hint="eastAsia"/>
          <w:sz w:val="24"/>
        </w:rPr>
        <w:t>：</w:t>
      </w:r>
    </w:p>
    <w:p w:rsidR="00044CE8" w:rsidRPr="000833EA" w:rsidRDefault="00044CE8" w:rsidP="00044CE8">
      <w:pPr>
        <w:numPr>
          <w:ilvl w:val="0"/>
          <w:numId w:val="3"/>
        </w:numPr>
        <w:spacing w:line="360" w:lineRule="auto"/>
        <w:ind w:firstLineChars="200" w:firstLine="480"/>
        <w:rPr>
          <w:rFonts w:hint="eastAsia"/>
          <w:sz w:val="24"/>
        </w:rPr>
      </w:pPr>
      <w:r w:rsidRPr="000833EA">
        <w:rPr>
          <w:rFonts w:hint="eastAsia"/>
          <w:sz w:val="24"/>
        </w:rPr>
        <w:t>微夹杂物</w:t>
      </w:r>
      <w:r w:rsidRPr="000833EA">
        <w:rPr>
          <w:rFonts w:hint="eastAsia"/>
          <w:sz w:val="24"/>
        </w:rPr>
        <w:t>(</w:t>
      </w:r>
      <w:r w:rsidRPr="000833EA">
        <w:rPr>
          <w:rFonts w:hint="eastAsia"/>
          <w:sz w:val="24"/>
        </w:rPr>
        <w:t>可用显微镜检测到的固有的夹杂物</w:t>
      </w:r>
      <w:r w:rsidRPr="000833EA">
        <w:rPr>
          <w:rFonts w:hint="eastAsia"/>
          <w:sz w:val="24"/>
        </w:rPr>
        <w:t>)</w:t>
      </w:r>
      <w:r w:rsidRPr="000833EA">
        <w:rPr>
          <w:rFonts w:hint="eastAsia"/>
          <w:sz w:val="24"/>
        </w:rPr>
        <w:t>：适用方法</w:t>
      </w:r>
      <w:r w:rsidRPr="000833EA">
        <w:rPr>
          <w:rFonts w:hint="eastAsia"/>
          <w:sz w:val="24"/>
        </w:rPr>
        <w:t>D</w:t>
      </w:r>
      <w:r w:rsidRPr="000833EA">
        <w:rPr>
          <w:rFonts w:hint="eastAsia"/>
          <w:sz w:val="24"/>
        </w:rPr>
        <w:t>。对于</w:t>
      </w:r>
      <w:r w:rsidRPr="000833EA">
        <w:rPr>
          <w:rFonts w:hint="eastAsia"/>
          <w:sz w:val="24"/>
        </w:rPr>
        <w:t>A</w:t>
      </w:r>
      <w:r w:rsidRPr="000833EA">
        <w:rPr>
          <w:rFonts w:hint="eastAsia"/>
          <w:sz w:val="24"/>
        </w:rPr>
        <w:t>、</w:t>
      </w:r>
      <w:r w:rsidRPr="000833EA">
        <w:rPr>
          <w:rFonts w:hint="eastAsia"/>
          <w:sz w:val="24"/>
        </w:rPr>
        <w:t>B</w:t>
      </w:r>
      <w:r w:rsidRPr="000833EA">
        <w:rPr>
          <w:rFonts w:hint="eastAsia"/>
          <w:sz w:val="24"/>
        </w:rPr>
        <w:t>、</w:t>
      </w:r>
      <w:r w:rsidRPr="000833EA">
        <w:rPr>
          <w:rFonts w:hint="eastAsia"/>
          <w:sz w:val="24"/>
        </w:rPr>
        <w:t>C</w:t>
      </w:r>
      <w:r w:rsidRPr="000833EA">
        <w:rPr>
          <w:rFonts w:hint="eastAsia"/>
          <w:sz w:val="24"/>
        </w:rPr>
        <w:t>和</w:t>
      </w:r>
      <w:r w:rsidRPr="000833EA">
        <w:rPr>
          <w:rFonts w:hint="eastAsia"/>
          <w:sz w:val="24"/>
        </w:rPr>
        <w:t>D</w:t>
      </w:r>
      <w:r w:rsidRPr="000833EA">
        <w:rPr>
          <w:rFonts w:hint="eastAsia"/>
          <w:sz w:val="24"/>
        </w:rPr>
        <w:t>类型的夹杂，严重等级数最多应为</w:t>
      </w:r>
      <w:r w:rsidRPr="000833EA">
        <w:rPr>
          <w:rFonts w:hint="eastAsia"/>
          <w:sz w:val="24"/>
        </w:rPr>
        <w:t>2</w:t>
      </w:r>
      <w:r w:rsidRPr="000833EA">
        <w:rPr>
          <w:rFonts w:hint="eastAsia"/>
          <w:sz w:val="24"/>
        </w:rPr>
        <w:t>。可允许接受的误差要限制在超过最大等级半级以内且不能超过观察区域的</w:t>
      </w:r>
      <w:r w:rsidRPr="000833EA">
        <w:rPr>
          <w:rFonts w:hint="eastAsia"/>
          <w:sz w:val="24"/>
        </w:rPr>
        <w:t>2%</w:t>
      </w:r>
      <w:r w:rsidRPr="000833EA">
        <w:rPr>
          <w:rFonts w:hint="eastAsia"/>
          <w:sz w:val="24"/>
        </w:rPr>
        <w:t>；</w:t>
      </w:r>
    </w:p>
    <w:p w:rsidR="00044CE8" w:rsidRPr="000833EA" w:rsidRDefault="00044CE8" w:rsidP="00044CE8">
      <w:pPr>
        <w:numPr>
          <w:ilvl w:val="0"/>
          <w:numId w:val="3"/>
        </w:numPr>
        <w:spacing w:line="360" w:lineRule="auto"/>
        <w:ind w:firstLineChars="200" w:firstLine="480"/>
        <w:rPr>
          <w:rFonts w:hint="eastAsia"/>
          <w:sz w:val="24"/>
        </w:rPr>
      </w:pPr>
      <w:r w:rsidRPr="000833EA">
        <w:rPr>
          <w:rFonts w:hint="eastAsia"/>
          <w:sz w:val="24"/>
        </w:rPr>
        <w:t>宏观夹杂物（非固有的一些夹渣和耐火材料）：材料中不允许有任何宏观夹杂物；</w:t>
      </w:r>
    </w:p>
    <w:p w:rsidR="00044CE8" w:rsidRPr="000833EA" w:rsidRDefault="00044CE8" w:rsidP="00044CE8">
      <w:pPr>
        <w:spacing w:line="360" w:lineRule="auto"/>
        <w:ind w:leftChars="200" w:left="420"/>
        <w:rPr>
          <w:rFonts w:hint="eastAsia"/>
          <w:sz w:val="24"/>
        </w:rPr>
      </w:pPr>
      <w:r w:rsidRPr="000833EA">
        <w:rPr>
          <w:rFonts w:hint="eastAsia"/>
          <w:sz w:val="24"/>
        </w:rPr>
        <w:t>在</w:t>
      </w:r>
      <w:r w:rsidRPr="000833EA">
        <w:rPr>
          <w:rFonts w:hint="eastAsia"/>
          <w:sz w:val="24"/>
        </w:rPr>
        <w:t>500</w:t>
      </w:r>
      <w:r w:rsidRPr="000833EA">
        <w:rPr>
          <w:rFonts w:hint="eastAsia"/>
          <w:sz w:val="24"/>
        </w:rPr>
        <w:t>倍显微镜下观察，最终交付材料中不允许有任何碳化物和碳氮化合物存在；</w:t>
      </w:r>
    </w:p>
    <w:p w:rsidR="00044CE8" w:rsidRPr="000833EA" w:rsidRDefault="00044CE8" w:rsidP="00044CE8">
      <w:pPr>
        <w:spacing w:line="360" w:lineRule="auto"/>
        <w:ind w:leftChars="200" w:left="420"/>
        <w:rPr>
          <w:rFonts w:hint="eastAsia"/>
          <w:sz w:val="24"/>
        </w:rPr>
      </w:pPr>
      <w:proofErr w:type="gramStart"/>
      <w:r w:rsidRPr="000833EA">
        <w:rPr>
          <w:rFonts w:hint="eastAsia"/>
          <w:sz w:val="24"/>
        </w:rPr>
        <w:t>材料固溶热处理</w:t>
      </w:r>
      <w:proofErr w:type="gramEnd"/>
      <w:r w:rsidRPr="000833EA">
        <w:rPr>
          <w:rFonts w:hint="eastAsia"/>
          <w:sz w:val="24"/>
        </w:rPr>
        <w:t>后，必须在室温下测量相对磁导率，用标准</w:t>
      </w:r>
      <w:r w:rsidRPr="000833EA">
        <w:rPr>
          <w:rFonts w:hint="eastAsia"/>
          <w:sz w:val="24"/>
        </w:rPr>
        <w:t xml:space="preserve"> ASTM A342 </w:t>
      </w:r>
      <w:r w:rsidRPr="000833EA">
        <w:rPr>
          <w:rFonts w:hint="eastAsia"/>
          <w:sz w:val="24"/>
        </w:rPr>
        <w:t>法</w:t>
      </w:r>
      <w:r w:rsidRPr="000833EA">
        <w:rPr>
          <w:rFonts w:hint="eastAsia"/>
          <w:sz w:val="24"/>
        </w:rPr>
        <w:t xml:space="preserve"> 3</w:t>
      </w:r>
      <w:r w:rsidRPr="000833EA">
        <w:rPr>
          <w:rFonts w:hint="eastAsia"/>
          <w:sz w:val="24"/>
        </w:rPr>
        <w:t>，使用磁力仪</w:t>
      </w:r>
      <w:r w:rsidRPr="000833EA">
        <w:rPr>
          <w:rFonts w:hint="eastAsia"/>
          <w:sz w:val="24"/>
        </w:rPr>
        <w:t xml:space="preserve"> Forster </w:t>
      </w:r>
      <w:r w:rsidRPr="000833EA">
        <w:rPr>
          <w:rFonts w:hint="eastAsia"/>
          <w:sz w:val="24"/>
        </w:rPr>
        <w:t>测量相对磁导率μ，材料的磁导率μ≤</w:t>
      </w:r>
      <w:r w:rsidRPr="000833EA">
        <w:rPr>
          <w:rFonts w:hint="eastAsia"/>
          <w:sz w:val="24"/>
        </w:rPr>
        <w:t>1.03</w:t>
      </w:r>
      <w:r w:rsidRPr="000833EA">
        <w:rPr>
          <w:rFonts w:hint="eastAsia"/>
          <w:sz w:val="24"/>
        </w:rPr>
        <w:t>。；</w:t>
      </w:r>
    </w:p>
    <w:p w:rsidR="00044CE8" w:rsidRPr="000833EA" w:rsidRDefault="00044CE8" w:rsidP="00044CE8">
      <w:pPr>
        <w:numPr>
          <w:ilvl w:val="0"/>
          <w:numId w:val="2"/>
        </w:numPr>
        <w:spacing w:line="360" w:lineRule="auto"/>
        <w:rPr>
          <w:rFonts w:hint="eastAsia"/>
          <w:sz w:val="24"/>
        </w:rPr>
      </w:pPr>
      <w:r w:rsidRPr="000833EA">
        <w:rPr>
          <w:rFonts w:hint="eastAsia"/>
          <w:sz w:val="24"/>
        </w:rPr>
        <w:t xml:space="preserve">316LN </w:t>
      </w:r>
      <w:r w:rsidRPr="000833EA">
        <w:rPr>
          <w:rFonts w:hint="eastAsia"/>
          <w:sz w:val="24"/>
        </w:rPr>
        <w:t>奥氏体不锈钢热轧钢板和锻件的力学性能要求如下表所示；</w:t>
      </w:r>
    </w:p>
    <w:p w:rsidR="00044CE8" w:rsidRPr="000833EA" w:rsidRDefault="00044CE8" w:rsidP="00044CE8">
      <w:pPr>
        <w:ind w:leftChars="200" w:left="420"/>
        <w:jc w:val="center"/>
        <w:rPr>
          <w:sz w:val="24"/>
        </w:rPr>
      </w:pPr>
      <w:r w:rsidRPr="000833EA">
        <w:rPr>
          <w:rFonts w:hint="eastAsia"/>
          <w:sz w:val="24"/>
        </w:rPr>
        <w:t>表</w:t>
      </w:r>
      <w:r w:rsidRPr="000833EA">
        <w:rPr>
          <w:rFonts w:hint="eastAsia"/>
          <w:sz w:val="24"/>
        </w:rPr>
        <w:t>2 316LN</w:t>
      </w:r>
      <w:r w:rsidRPr="000833EA">
        <w:rPr>
          <w:rFonts w:hint="eastAsia"/>
          <w:sz w:val="24"/>
        </w:rPr>
        <w:t>奥氏体不锈钢的力学性能要求</w:t>
      </w:r>
    </w:p>
    <w:p w:rsidR="00044CE8" w:rsidRPr="000833EA" w:rsidRDefault="00044CE8" w:rsidP="00044CE8">
      <w:pPr>
        <w:ind w:leftChars="200" w:left="420"/>
        <w:jc w:val="center"/>
      </w:pPr>
    </w:p>
    <w:tbl>
      <w:tblPr>
        <w:tblW w:w="9639" w:type="dxa"/>
        <w:tblInd w:w="248" w:type="dxa"/>
        <w:tblLayout w:type="fixed"/>
        <w:tblCellMar>
          <w:left w:w="106" w:type="dxa"/>
          <w:right w:w="75" w:type="dxa"/>
        </w:tblCellMar>
        <w:tblLook w:val="04A0" w:firstRow="1" w:lastRow="0" w:firstColumn="1" w:lastColumn="0" w:noHBand="0" w:noVBand="1"/>
      </w:tblPr>
      <w:tblGrid>
        <w:gridCol w:w="2126"/>
        <w:gridCol w:w="1985"/>
        <w:gridCol w:w="1701"/>
        <w:gridCol w:w="2126"/>
        <w:gridCol w:w="1701"/>
      </w:tblGrid>
      <w:tr w:rsidR="00044CE8" w:rsidRPr="000833EA" w:rsidTr="0079633B">
        <w:trPr>
          <w:trHeight w:val="1047"/>
        </w:trPr>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line="400" w:lineRule="exact"/>
              <w:ind w:left="2"/>
              <w:jc w:val="center"/>
              <w:rPr>
                <w:rFonts w:ascii="等线" w:eastAsia="等线" w:hAnsi="等线" w:hint="eastAsia"/>
              </w:rPr>
            </w:pPr>
            <w:r w:rsidRPr="000833EA">
              <w:rPr>
                <w:rFonts w:ascii="等线" w:eastAsia="等线" w:hAnsi="等线"/>
              </w:rPr>
              <w:t>测试温度</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after="195" w:line="400" w:lineRule="exact"/>
              <w:jc w:val="center"/>
              <w:rPr>
                <w:rFonts w:ascii="等线" w:eastAsia="等线" w:hAnsi="等线" w:hint="eastAsia"/>
              </w:rPr>
            </w:pPr>
            <w:r w:rsidRPr="000833EA">
              <w:rPr>
                <w:rFonts w:ascii="等线" w:eastAsia="等线" w:hAnsi="等线"/>
              </w:rPr>
              <w:t>弹性模量</w:t>
            </w:r>
          </w:p>
          <w:p w:rsidR="00044CE8" w:rsidRPr="000833EA" w:rsidRDefault="00044CE8" w:rsidP="0079633B">
            <w:pPr>
              <w:spacing w:line="400" w:lineRule="exact"/>
              <w:ind w:right="74" w:firstLineChars="100" w:firstLine="210"/>
              <w:jc w:val="center"/>
              <w:rPr>
                <w:rFonts w:ascii="等线" w:eastAsia="等线" w:hAnsi="等线" w:hint="eastAsia"/>
              </w:rPr>
            </w:pPr>
            <w:r w:rsidRPr="000833EA">
              <w:rPr>
                <w:rFonts w:ascii="等线" w:eastAsia="等线" w:hAnsi="等线"/>
                <w:kern w:val="0"/>
              </w:rPr>
              <w:t>/</w:t>
            </w:r>
            <w:proofErr w:type="spellStart"/>
            <w:r w:rsidRPr="000833EA">
              <w:rPr>
                <w:rFonts w:ascii="等线" w:eastAsia="等线" w:hAnsi="等线"/>
                <w:kern w:val="0"/>
              </w:rPr>
              <w:t>GPa</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after="166" w:line="400" w:lineRule="exact"/>
              <w:ind w:left="2" w:firstLineChars="100" w:firstLine="210"/>
              <w:jc w:val="center"/>
              <w:rPr>
                <w:rFonts w:ascii="等线" w:eastAsia="等线" w:hAnsi="等线" w:hint="eastAsia"/>
              </w:rPr>
            </w:pPr>
            <w:r w:rsidRPr="000833EA">
              <w:rPr>
                <w:rFonts w:ascii="等线" w:eastAsia="等线" w:hAnsi="等线"/>
              </w:rPr>
              <w:t>屈服强度</w:t>
            </w:r>
          </w:p>
          <w:p w:rsidR="00044CE8" w:rsidRPr="000833EA" w:rsidRDefault="00044CE8" w:rsidP="0079633B">
            <w:pPr>
              <w:spacing w:line="400" w:lineRule="exact"/>
              <w:ind w:right="74" w:firstLine="480"/>
              <w:jc w:val="center"/>
              <w:rPr>
                <w:rFonts w:ascii="等线" w:eastAsia="等线" w:hAnsi="等线" w:hint="eastAsia"/>
              </w:rPr>
            </w:pPr>
            <w:r w:rsidRPr="000833EA">
              <w:rPr>
                <w:rFonts w:ascii="等线" w:eastAsia="等线" w:hAnsi="等线"/>
                <w:kern w:val="0"/>
              </w:rPr>
              <w:t>/MPa</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after="166" w:line="400" w:lineRule="exact"/>
              <w:ind w:firstLineChars="83" w:firstLine="174"/>
              <w:jc w:val="center"/>
              <w:rPr>
                <w:rFonts w:ascii="等线" w:eastAsia="等线" w:hAnsi="等线" w:hint="eastAsia"/>
              </w:rPr>
            </w:pPr>
            <w:r w:rsidRPr="000833EA">
              <w:rPr>
                <w:rFonts w:ascii="等线" w:eastAsia="等线" w:hAnsi="等线"/>
              </w:rPr>
              <w:t>抗拉强度</w:t>
            </w:r>
          </w:p>
          <w:p w:rsidR="00044CE8" w:rsidRPr="000833EA" w:rsidRDefault="00044CE8" w:rsidP="0079633B">
            <w:pPr>
              <w:spacing w:line="400" w:lineRule="exact"/>
              <w:ind w:right="74" w:firstLine="480"/>
              <w:jc w:val="center"/>
              <w:rPr>
                <w:rFonts w:ascii="等线" w:eastAsia="等线" w:hAnsi="等线" w:hint="eastAsia"/>
              </w:rPr>
            </w:pPr>
            <w:r w:rsidRPr="000833EA">
              <w:rPr>
                <w:rFonts w:ascii="等线" w:eastAsia="等线" w:hAnsi="等线"/>
                <w:kern w:val="0"/>
              </w:rPr>
              <w:t>/MPa</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line="400" w:lineRule="exact"/>
              <w:ind w:left="420" w:hangingChars="200" w:hanging="420"/>
              <w:jc w:val="center"/>
              <w:rPr>
                <w:rFonts w:ascii="等线" w:eastAsia="等线" w:hAnsi="等线" w:hint="eastAsia"/>
              </w:rPr>
            </w:pPr>
            <w:r w:rsidRPr="000833EA">
              <w:rPr>
                <w:rFonts w:ascii="等线" w:eastAsia="等线" w:hAnsi="等线"/>
              </w:rPr>
              <w:t>断后伸长率</w:t>
            </w:r>
            <w:r w:rsidRPr="000833EA">
              <w:rPr>
                <w:rFonts w:ascii="等线" w:eastAsia="等线" w:hAnsi="等线"/>
                <w:kern w:val="0"/>
              </w:rPr>
              <w:t>/%</w:t>
            </w:r>
          </w:p>
        </w:tc>
      </w:tr>
      <w:tr w:rsidR="00044CE8" w:rsidRPr="000833EA" w:rsidTr="0079633B">
        <w:trPr>
          <w:trHeight w:val="583"/>
        </w:trPr>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line="400" w:lineRule="exact"/>
              <w:ind w:left="2"/>
              <w:jc w:val="center"/>
              <w:rPr>
                <w:rFonts w:ascii="等线" w:eastAsia="等线" w:hAnsi="等线" w:hint="eastAsia"/>
                <w:kern w:val="0"/>
              </w:rPr>
            </w:pPr>
            <w:r w:rsidRPr="000833EA">
              <w:rPr>
                <w:rFonts w:ascii="等线" w:eastAsia="等线" w:hAnsi="等线"/>
                <w:kern w:val="0"/>
              </w:rPr>
              <w:t>300K</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line="400" w:lineRule="exact"/>
              <w:ind w:firstLineChars="83" w:firstLine="174"/>
              <w:jc w:val="center"/>
              <w:rPr>
                <w:rFonts w:ascii="等线" w:eastAsia="等线" w:hAnsi="等线" w:hint="eastAsia"/>
                <w:kern w:val="0"/>
              </w:rPr>
            </w:pPr>
            <w:r w:rsidRPr="000833EA">
              <w:rPr>
                <w:rFonts w:ascii="等线" w:eastAsia="等线" w:hAnsi="等线"/>
                <w:kern w:val="0"/>
              </w:rPr>
              <w:t>≥190 （参考）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line="400" w:lineRule="exact"/>
              <w:ind w:firstLineChars="183" w:firstLine="384"/>
              <w:jc w:val="center"/>
              <w:rPr>
                <w:rFonts w:ascii="等线" w:eastAsia="等线" w:hAnsi="等线" w:hint="eastAsia"/>
                <w:kern w:val="0"/>
              </w:rPr>
            </w:pPr>
            <w:r w:rsidRPr="000833EA">
              <w:rPr>
                <w:rFonts w:ascii="等线" w:eastAsia="等线" w:hAnsi="等线"/>
                <w:kern w:val="0"/>
              </w:rPr>
              <w:t>≥250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line="400" w:lineRule="exact"/>
              <w:ind w:firstLineChars="183" w:firstLine="384"/>
              <w:jc w:val="center"/>
              <w:rPr>
                <w:rFonts w:ascii="等线" w:eastAsia="等线" w:hAnsi="等线" w:hint="eastAsia"/>
                <w:kern w:val="0"/>
              </w:rPr>
            </w:pPr>
            <w:r w:rsidRPr="000833EA">
              <w:rPr>
                <w:rFonts w:ascii="等线" w:eastAsia="等线" w:hAnsi="等线"/>
                <w:kern w:val="0"/>
              </w:rPr>
              <w:t>≥480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line="400" w:lineRule="exact"/>
              <w:ind w:right="74" w:firstLine="480"/>
              <w:jc w:val="center"/>
              <w:rPr>
                <w:rFonts w:ascii="等线" w:eastAsia="等线" w:hAnsi="等线" w:hint="eastAsia"/>
                <w:kern w:val="0"/>
              </w:rPr>
            </w:pPr>
            <w:r w:rsidRPr="000833EA">
              <w:rPr>
                <w:rFonts w:ascii="等线" w:eastAsia="等线" w:hAnsi="等线"/>
                <w:kern w:val="0"/>
              </w:rPr>
              <w:t>≥40</w:t>
            </w:r>
          </w:p>
        </w:tc>
      </w:tr>
      <w:tr w:rsidR="00044CE8" w:rsidRPr="000833EA" w:rsidTr="0079633B">
        <w:trPr>
          <w:trHeight w:val="687"/>
        </w:trPr>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line="400" w:lineRule="exact"/>
              <w:ind w:left="2"/>
              <w:jc w:val="center"/>
              <w:rPr>
                <w:rFonts w:ascii="等线" w:eastAsia="等线" w:hAnsi="等线" w:hint="eastAsia"/>
              </w:rPr>
            </w:pPr>
            <w:r w:rsidRPr="000833EA">
              <w:rPr>
                <w:rFonts w:ascii="等线" w:eastAsia="等线" w:hAnsi="等线"/>
                <w:kern w:val="0"/>
              </w:rPr>
              <w:t>77K</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line="400" w:lineRule="exact"/>
              <w:ind w:firstLineChars="83" w:firstLine="174"/>
              <w:jc w:val="center"/>
              <w:rPr>
                <w:rFonts w:ascii="等线" w:eastAsia="等线" w:hAnsi="等线" w:hint="eastAsia"/>
              </w:rPr>
            </w:pPr>
            <w:r w:rsidRPr="000833EA">
              <w:rPr>
                <w:rFonts w:ascii="等线" w:eastAsia="等线" w:hAnsi="等线"/>
                <w:kern w:val="0"/>
              </w:rPr>
              <w:t>≥203 （参考）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line="400" w:lineRule="exact"/>
              <w:ind w:firstLineChars="183" w:firstLine="384"/>
              <w:jc w:val="center"/>
              <w:rPr>
                <w:rFonts w:ascii="等线" w:eastAsia="等线" w:hAnsi="等线" w:hint="eastAsia"/>
              </w:rPr>
            </w:pPr>
            <w:r w:rsidRPr="000833EA">
              <w:rPr>
                <w:rFonts w:ascii="等线" w:eastAsia="等线" w:hAnsi="等线"/>
                <w:kern w:val="0"/>
              </w:rPr>
              <w:t>≥700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line="400" w:lineRule="exact"/>
              <w:ind w:firstLine="420"/>
              <w:jc w:val="center"/>
              <w:rPr>
                <w:rFonts w:ascii="等线" w:eastAsia="等线" w:hAnsi="等线" w:hint="eastAsia"/>
              </w:rPr>
            </w:pPr>
            <w:r w:rsidRPr="000833EA">
              <w:rPr>
                <w:rFonts w:ascii="等线" w:eastAsia="等线" w:hAnsi="等线"/>
                <w:kern w:val="0"/>
              </w:rPr>
              <w:t>≥1100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line="400" w:lineRule="exact"/>
              <w:ind w:right="74" w:firstLine="480"/>
              <w:jc w:val="center"/>
              <w:rPr>
                <w:rFonts w:ascii="等线" w:eastAsia="等线" w:hAnsi="等线" w:hint="eastAsia"/>
              </w:rPr>
            </w:pPr>
            <w:r w:rsidRPr="000833EA">
              <w:rPr>
                <w:rFonts w:ascii="等线" w:eastAsia="等线" w:hAnsi="等线"/>
                <w:kern w:val="0"/>
              </w:rPr>
              <w:t>≥40</w:t>
            </w:r>
          </w:p>
        </w:tc>
      </w:tr>
      <w:tr w:rsidR="00044CE8" w:rsidRPr="000833EA" w:rsidTr="0079633B">
        <w:trPr>
          <w:trHeight w:val="687"/>
        </w:trPr>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line="400" w:lineRule="exact"/>
              <w:ind w:left="2"/>
              <w:jc w:val="center"/>
              <w:rPr>
                <w:rFonts w:ascii="等线" w:eastAsia="等线" w:hAnsi="等线" w:hint="eastAsia"/>
                <w:kern w:val="0"/>
              </w:rPr>
            </w:pPr>
            <w:r w:rsidRPr="000833EA">
              <w:rPr>
                <w:rFonts w:ascii="等线" w:eastAsia="等线" w:hAnsi="等线"/>
                <w:kern w:val="0"/>
              </w:rPr>
              <w:t>4.2 K</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line="400" w:lineRule="exact"/>
              <w:ind w:firstLineChars="83" w:firstLine="174"/>
              <w:jc w:val="center"/>
              <w:rPr>
                <w:rFonts w:ascii="等线" w:eastAsia="等线" w:hAnsi="等线" w:hint="eastAsia"/>
                <w:kern w:val="0"/>
              </w:rPr>
            </w:pPr>
            <w:r w:rsidRPr="000833EA">
              <w:rPr>
                <w:rFonts w:ascii="等线" w:eastAsia="等线" w:hAnsi="等线"/>
                <w:kern w:val="0"/>
              </w:rPr>
              <w:t>≥203 （参考）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line="400" w:lineRule="exact"/>
              <w:ind w:firstLineChars="183" w:firstLine="384"/>
              <w:jc w:val="center"/>
              <w:rPr>
                <w:rFonts w:ascii="等线" w:eastAsia="等线" w:hAnsi="等线" w:hint="eastAsia"/>
                <w:kern w:val="0"/>
              </w:rPr>
            </w:pPr>
            <w:r w:rsidRPr="000833EA">
              <w:rPr>
                <w:rFonts w:ascii="等线" w:eastAsia="等线" w:hAnsi="等线"/>
                <w:kern w:val="0"/>
              </w:rPr>
              <w:t>≥900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line="400" w:lineRule="exact"/>
              <w:ind w:firstLine="420"/>
              <w:jc w:val="center"/>
              <w:rPr>
                <w:rFonts w:ascii="等线" w:eastAsia="等线" w:hAnsi="等线" w:hint="eastAsia"/>
                <w:kern w:val="0"/>
              </w:rPr>
            </w:pPr>
            <w:r w:rsidRPr="000833EA">
              <w:rPr>
                <w:rFonts w:ascii="等线" w:eastAsia="等线" w:hAnsi="等线"/>
                <w:kern w:val="0"/>
              </w:rPr>
              <w:t>≥1200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4CE8" w:rsidRPr="000833EA" w:rsidRDefault="00044CE8" w:rsidP="0079633B">
            <w:pPr>
              <w:spacing w:line="400" w:lineRule="exact"/>
              <w:ind w:right="74" w:firstLine="480"/>
              <w:jc w:val="center"/>
              <w:rPr>
                <w:rFonts w:ascii="等线" w:eastAsia="等线" w:hAnsi="等线" w:hint="eastAsia"/>
                <w:kern w:val="0"/>
              </w:rPr>
            </w:pPr>
            <w:r w:rsidRPr="000833EA">
              <w:rPr>
                <w:rFonts w:ascii="等线" w:eastAsia="等线" w:hAnsi="等线"/>
                <w:kern w:val="0"/>
              </w:rPr>
              <w:t>≥35</w:t>
            </w:r>
          </w:p>
        </w:tc>
      </w:tr>
    </w:tbl>
    <w:p w:rsidR="00044CE8" w:rsidRPr="000833EA" w:rsidRDefault="00044CE8" w:rsidP="00044CE8">
      <w:pPr>
        <w:rPr>
          <w:rFonts w:hint="eastAsia"/>
          <w:sz w:val="24"/>
        </w:rPr>
      </w:pPr>
    </w:p>
    <w:p w:rsidR="00044CE8" w:rsidRPr="000833EA" w:rsidRDefault="00044CE8" w:rsidP="00044CE8">
      <w:pPr>
        <w:rPr>
          <w:rFonts w:hint="eastAsia"/>
          <w:b/>
          <w:bCs/>
          <w:sz w:val="24"/>
        </w:rPr>
      </w:pPr>
      <w:r w:rsidRPr="000833EA">
        <w:rPr>
          <w:rFonts w:hint="eastAsia"/>
          <w:b/>
          <w:bCs/>
          <w:sz w:val="24"/>
        </w:rPr>
        <w:t xml:space="preserve">2.3.2 </w:t>
      </w:r>
      <w:r w:rsidRPr="000833EA">
        <w:rPr>
          <w:rFonts w:hint="eastAsia"/>
          <w:b/>
          <w:bCs/>
          <w:sz w:val="24"/>
        </w:rPr>
        <w:t>焊接要求</w:t>
      </w:r>
    </w:p>
    <w:p w:rsidR="00044CE8" w:rsidRPr="000833EA" w:rsidRDefault="00044CE8" w:rsidP="00044CE8">
      <w:pPr>
        <w:numPr>
          <w:ilvl w:val="0"/>
          <w:numId w:val="4"/>
        </w:numPr>
        <w:spacing w:line="360" w:lineRule="auto"/>
        <w:rPr>
          <w:rFonts w:hint="eastAsia"/>
          <w:sz w:val="24"/>
        </w:rPr>
      </w:pPr>
      <w:r w:rsidRPr="000833EA">
        <w:rPr>
          <w:rFonts w:hint="eastAsia"/>
          <w:sz w:val="24"/>
        </w:rPr>
        <w:t>所有的焊接作业人员应由认可的检验机构进行认证。证书应由检验机构全权负责签发，并应包含</w:t>
      </w:r>
      <w:r w:rsidRPr="000833EA">
        <w:rPr>
          <w:rFonts w:hint="eastAsia"/>
          <w:sz w:val="24"/>
        </w:rPr>
        <w:t>GB/T 15169</w:t>
      </w:r>
      <w:r w:rsidRPr="000833EA">
        <w:rPr>
          <w:rFonts w:hint="eastAsia"/>
          <w:sz w:val="24"/>
        </w:rPr>
        <w:t>（</w:t>
      </w:r>
      <w:r w:rsidRPr="000833EA">
        <w:rPr>
          <w:rFonts w:hint="eastAsia"/>
          <w:sz w:val="24"/>
        </w:rPr>
        <w:t>ISO 9606-1</w:t>
      </w:r>
      <w:r w:rsidRPr="000833EA">
        <w:rPr>
          <w:rFonts w:hint="eastAsia"/>
          <w:sz w:val="24"/>
        </w:rPr>
        <w:t>）附件</w:t>
      </w:r>
      <w:r w:rsidRPr="000833EA">
        <w:rPr>
          <w:rFonts w:hint="eastAsia"/>
          <w:sz w:val="24"/>
        </w:rPr>
        <w:t>B</w:t>
      </w:r>
      <w:r w:rsidRPr="000833EA">
        <w:rPr>
          <w:rFonts w:hint="eastAsia"/>
          <w:sz w:val="24"/>
        </w:rPr>
        <w:t>或者</w:t>
      </w:r>
      <w:r w:rsidRPr="000833EA">
        <w:rPr>
          <w:rFonts w:hint="eastAsia"/>
          <w:sz w:val="24"/>
        </w:rPr>
        <w:t>HAF 603</w:t>
      </w:r>
      <w:r w:rsidRPr="000833EA">
        <w:rPr>
          <w:rFonts w:hint="eastAsia"/>
          <w:sz w:val="24"/>
        </w:rPr>
        <w:t>中详细说明的所有信息。</w:t>
      </w:r>
    </w:p>
    <w:p w:rsidR="00044CE8" w:rsidRPr="000833EA" w:rsidRDefault="00044CE8" w:rsidP="00044CE8">
      <w:pPr>
        <w:numPr>
          <w:ilvl w:val="0"/>
          <w:numId w:val="4"/>
        </w:numPr>
        <w:spacing w:line="360" w:lineRule="auto"/>
        <w:rPr>
          <w:rFonts w:hint="eastAsia"/>
          <w:sz w:val="24"/>
        </w:rPr>
      </w:pPr>
      <w:r w:rsidRPr="000833EA">
        <w:rPr>
          <w:rFonts w:hint="eastAsia"/>
          <w:sz w:val="24"/>
        </w:rPr>
        <w:t>焊丝由甲方指定品牌及牌号，具体的焊丝规格则根据乙方的焊接工艺细节来确定。</w:t>
      </w:r>
    </w:p>
    <w:p w:rsidR="00044CE8" w:rsidRPr="000833EA" w:rsidRDefault="00044CE8" w:rsidP="00044CE8">
      <w:pPr>
        <w:numPr>
          <w:ilvl w:val="0"/>
          <w:numId w:val="4"/>
        </w:numPr>
        <w:spacing w:line="360" w:lineRule="auto"/>
        <w:rPr>
          <w:rFonts w:hint="eastAsia"/>
          <w:sz w:val="24"/>
        </w:rPr>
      </w:pPr>
      <w:r w:rsidRPr="000833EA">
        <w:rPr>
          <w:rFonts w:hint="eastAsia"/>
          <w:sz w:val="24"/>
        </w:rPr>
        <w:t>焊接工艺评定应遵循</w:t>
      </w:r>
      <w:r w:rsidRPr="000833EA">
        <w:rPr>
          <w:rFonts w:hint="eastAsia"/>
          <w:sz w:val="24"/>
        </w:rPr>
        <w:t>GB/T 19866</w:t>
      </w:r>
      <w:r w:rsidRPr="000833EA">
        <w:rPr>
          <w:rFonts w:hint="eastAsia"/>
          <w:sz w:val="24"/>
        </w:rPr>
        <w:t>表</w:t>
      </w:r>
      <w:r w:rsidRPr="000833EA">
        <w:rPr>
          <w:rFonts w:hint="eastAsia"/>
          <w:sz w:val="24"/>
        </w:rPr>
        <w:t>B.1</w:t>
      </w:r>
      <w:r w:rsidRPr="000833EA">
        <w:rPr>
          <w:rFonts w:hint="eastAsia"/>
          <w:sz w:val="24"/>
        </w:rPr>
        <w:t>所示和附件</w:t>
      </w:r>
      <w:r w:rsidRPr="000833EA">
        <w:rPr>
          <w:rFonts w:hint="eastAsia"/>
          <w:sz w:val="24"/>
        </w:rPr>
        <w:t>C</w:t>
      </w:r>
      <w:r w:rsidRPr="000833EA">
        <w:rPr>
          <w:rFonts w:hint="eastAsia"/>
          <w:sz w:val="24"/>
        </w:rPr>
        <w:t>所示的流程图。样件的测试数量和不同的破坏性和非破坏性试验数量均在</w:t>
      </w:r>
      <w:r w:rsidRPr="000833EA">
        <w:rPr>
          <w:rFonts w:hint="eastAsia"/>
          <w:sz w:val="24"/>
        </w:rPr>
        <w:t>GB/T 19868.4</w:t>
      </w:r>
      <w:r w:rsidRPr="000833EA">
        <w:rPr>
          <w:rFonts w:hint="eastAsia"/>
          <w:sz w:val="24"/>
        </w:rPr>
        <w:t>（</w:t>
      </w:r>
      <w:r w:rsidRPr="000833EA">
        <w:rPr>
          <w:rFonts w:hint="eastAsia"/>
          <w:sz w:val="24"/>
        </w:rPr>
        <w:t>ISO 15613</w:t>
      </w:r>
      <w:r w:rsidRPr="000833EA">
        <w:rPr>
          <w:rFonts w:hint="eastAsia"/>
          <w:sz w:val="24"/>
        </w:rPr>
        <w:t>）、</w:t>
      </w:r>
      <w:r w:rsidRPr="000833EA">
        <w:rPr>
          <w:rFonts w:hint="eastAsia"/>
          <w:sz w:val="24"/>
        </w:rPr>
        <w:t>GB/T 19869.1</w:t>
      </w:r>
      <w:r w:rsidRPr="000833EA">
        <w:rPr>
          <w:rFonts w:hint="eastAsia"/>
          <w:sz w:val="24"/>
        </w:rPr>
        <w:t>（</w:t>
      </w:r>
      <w:r w:rsidRPr="000833EA">
        <w:rPr>
          <w:rFonts w:hint="eastAsia"/>
          <w:sz w:val="24"/>
        </w:rPr>
        <w:t>ISO 15614-1</w:t>
      </w:r>
      <w:r w:rsidRPr="000833EA">
        <w:rPr>
          <w:rFonts w:hint="eastAsia"/>
          <w:sz w:val="24"/>
        </w:rPr>
        <w:t>）或</w:t>
      </w:r>
      <w:r w:rsidRPr="000833EA">
        <w:rPr>
          <w:rFonts w:hint="eastAsia"/>
          <w:sz w:val="24"/>
        </w:rPr>
        <w:t>GB/T 29710</w:t>
      </w:r>
      <w:r w:rsidRPr="000833EA">
        <w:rPr>
          <w:rFonts w:hint="eastAsia"/>
          <w:sz w:val="24"/>
        </w:rPr>
        <w:t>（</w:t>
      </w:r>
      <w:r w:rsidRPr="000833EA">
        <w:rPr>
          <w:rFonts w:hint="eastAsia"/>
          <w:sz w:val="24"/>
        </w:rPr>
        <w:t>ISO 15614-11</w:t>
      </w:r>
      <w:r w:rsidRPr="000833EA">
        <w:rPr>
          <w:rFonts w:hint="eastAsia"/>
          <w:sz w:val="24"/>
        </w:rPr>
        <w:t>）中有规定。焊接工艺评定应由具有相应资质的</w:t>
      </w:r>
      <w:proofErr w:type="gramStart"/>
      <w:r w:rsidRPr="000833EA">
        <w:rPr>
          <w:rFonts w:hint="eastAsia"/>
          <w:sz w:val="24"/>
        </w:rPr>
        <w:t>独立第三</w:t>
      </w:r>
      <w:proofErr w:type="gramEnd"/>
      <w:r w:rsidRPr="000833EA">
        <w:rPr>
          <w:rFonts w:hint="eastAsia"/>
          <w:sz w:val="24"/>
        </w:rPr>
        <w:t>方检验机构进行现场见证。</w:t>
      </w:r>
    </w:p>
    <w:p w:rsidR="00044CE8" w:rsidRPr="000833EA" w:rsidRDefault="00044CE8" w:rsidP="00044CE8">
      <w:pPr>
        <w:numPr>
          <w:ilvl w:val="0"/>
          <w:numId w:val="4"/>
        </w:numPr>
        <w:spacing w:line="360" w:lineRule="auto"/>
        <w:rPr>
          <w:rFonts w:hint="eastAsia"/>
          <w:sz w:val="24"/>
        </w:rPr>
      </w:pPr>
      <w:r w:rsidRPr="000833EA">
        <w:rPr>
          <w:rFonts w:hint="eastAsia"/>
          <w:sz w:val="24"/>
        </w:rPr>
        <w:t>除</w:t>
      </w:r>
      <w:r w:rsidRPr="000833EA">
        <w:rPr>
          <w:rFonts w:hint="eastAsia"/>
          <w:sz w:val="24"/>
        </w:rPr>
        <w:t>GB/T 19868.4</w:t>
      </w:r>
      <w:r w:rsidRPr="000833EA">
        <w:rPr>
          <w:rFonts w:hint="eastAsia"/>
          <w:sz w:val="24"/>
        </w:rPr>
        <w:t>（</w:t>
      </w:r>
      <w:r w:rsidRPr="000833EA">
        <w:rPr>
          <w:rFonts w:hint="eastAsia"/>
          <w:sz w:val="24"/>
        </w:rPr>
        <w:t>ISO 15613</w:t>
      </w:r>
      <w:r w:rsidRPr="000833EA">
        <w:rPr>
          <w:rFonts w:hint="eastAsia"/>
          <w:sz w:val="24"/>
        </w:rPr>
        <w:t>）、</w:t>
      </w:r>
      <w:r w:rsidRPr="000833EA">
        <w:rPr>
          <w:rFonts w:hint="eastAsia"/>
          <w:sz w:val="24"/>
        </w:rPr>
        <w:t>GB/T 19869.1</w:t>
      </w:r>
      <w:r w:rsidRPr="000833EA">
        <w:rPr>
          <w:rFonts w:hint="eastAsia"/>
          <w:sz w:val="24"/>
        </w:rPr>
        <w:t>（</w:t>
      </w:r>
      <w:r w:rsidRPr="000833EA">
        <w:rPr>
          <w:rFonts w:hint="eastAsia"/>
          <w:sz w:val="24"/>
        </w:rPr>
        <w:t>ISO 15614-1</w:t>
      </w:r>
      <w:r w:rsidRPr="000833EA">
        <w:rPr>
          <w:rFonts w:hint="eastAsia"/>
          <w:sz w:val="24"/>
        </w:rPr>
        <w:t>）或</w:t>
      </w:r>
      <w:r w:rsidRPr="000833EA">
        <w:rPr>
          <w:rFonts w:hint="eastAsia"/>
          <w:sz w:val="24"/>
        </w:rPr>
        <w:t>GB/T 29710</w:t>
      </w:r>
      <w:r w:rsidRPr="000833EA">
        <w:rPr>
          <w:rFonts w:hint="eastAsia"/>
          <w:sz w:val="24"/>
        </w:rPr>
        <w:t>（</w:t>
      </w:r>
      <w:r w:rsidRPr="000833EA">
        <w:rPr>
          <w:rFonts w:hint="eastAsia"/>
          <w:sz w:val="24"/>
        </w:rPr>
        <w:t>ISO 15614-11</w:t>
      </w:r>
      <w:r w:rsidRPr="000833EA">
        <w:rPr>
          <w:rFonts w:hint="eastAsia"/>
          <w:sz w:val="24"/>
        </w:rPr>
        <w:t>）中规定的以外，还需增加低温拉伸测试：依据</w:t>
      </w:r>
      <w:r w:rsidRPr="000833EA">
        <w:rPr>
          <w:rFonts w:hint="eastAsia"/>
          <w:sz w:val="24"/>
        </w:rPr>
        <w:t>GB/T228.4</w:t>
      </w:r>
      <w:r w:rsidRPr="000833EA">
        <w:rPr>
          <w:rFonts w:hint="eastAsia"/>
          <w:sz w:val="24"/>
        </w:rPr>
        <w:t>，测试</w:t>
      </w:r>
      <w:r w:rsidRPr="000833EA">
        <w:rPr>
          <w:rFonts w:hint="eastAsia"/>
          <w:sz w:val="24"/>
        </w:rPr>
        <w:t>4.2K</w:t>
      </w:r>
      <w:r w:rsidRPr="000833EA">
        <w:rPr>
          <w:rFonts w:hint="eastAsia"/>
          <w:sz w:val="24"/>
        </w:rPr>
        <w:t>条件下接头的拉伸性能（</w:t>
      </w:r>
      <w:r w:rsidRPr="000833EA">
        <w:rPr>
          <w:rFonts w:hint="eastAsia"/>
          <w:sz w:val="24"/>
        </w:rPr>
        <w:t>2</w:t>
      </w:r>
      <w:r w:rsidRPr="000833EA">
        <w:rPr>
          <w:rFonts w:hint="eastAsia"/>
          <w:sz w:val="24"/>
        </w:rPr>
        <w:t>个样件）。屈服强度</w:t>
      </w:r>
      <w:r w:rsidRPr="000833EA">
        <w:rPr>
          <w:rFonts w:hint="eastAsia"/>
          <w:sz w:val="24"/>
        </w:rPr>
        <w:t>&gt;900MPa</w:t>
      </w:r>
      <w:r w:rsidRPr="000833EA">
        <w:rPr>
          <w:rFonts w:hint="eastAsia"/>
          <w:sz w:val="24"/>
        </w:rPr>
        <w:t>，抗拉强度</w:t>
      </w:r>
      <w:r w:rsidRPr="000833EA">
        <w:rPr>
          <w:rFonts w:hint="eastAsia"/>
          <w:sz w:val="24"/>
        </w:rPr>
        <w:t>&gt;1200MPa</w:t>
      </w:r>
      <w:r w:rsidRPr="000833EA">
        <w:rPr>
          <w:rFonts w:hint="eastAsia"/>
          <w:sz w:val="24"/>
        </w:rPr>
        <w:t>，伸长率记录数据。</w:t>
      </w:r>
    </w:p>
    <w:p w:rsidR="00044CE8" w:rsidRPr="000833EA" w:rsidRDefault="00044CE8" w:rsidP="00044CE8">
      <w:pPr>
        <w:numPr>
          <w:ilvl w:val="0"/>
          <w:numId w:val="4"/>
        </w:numPr>
        <w:spacing w:line="360" w:lineRule="auto"/>
        <w:rPr>
          <w:rFonts w:hint="eastAsia"/>
          <w:sz w:val="24"/>
        </w:rPr>
      </w:pPr>
      <w:r w:rsidRPr="000833EA">
        <w:rPr>
          <w:rFonts w:hint="eastAsia"/>
          <w:sz w:val="24"/>
        </w:rPr>
        <w:t>采用</w:t>
      </w:r>
      <w:r w:rsidRPr="000833EA">
        <w:rPr>
          <w:rFonts w:hint="eastAsia"/>
          <w:sz w:val="24"/>
        </w:rPr>
        <w:t>GB/T5616</w:t>
      </w:r>
      <w:r w:rsidRPr="000833EA">
        <w:rPr>
          <w:rFonts w:hint="eastAsia"/>
          <w:sz w:val="24"/>
        </w:rPr>
        <w:t>中定义的目视、表面和体积等无损检测方法对焊接接头进行检测。对于</w:t>
      </w:r>
      <w:r w:rsidRPr="000833EA">
        <w:rPr>
          <w:rFonts w:hint="eastAsia"/>
          <w:sz w:val="24"/>
        </w:rPr>
        <w:t>GB/T 19418</w:t>
      </w:r>
      <w:r w:rsidRPr="000833EA">
        <w:rPr>
          <w:rFonts w:hint="eastAsia"/>
          <w:sz w:val="24"/>
        </w:rPr>
        <w:t>表</w:t>
      </w:r>
      <w:r w:rsidRPr="000833EA">
        <w:rPr>
          <w:rFonts w:hint="eastAsia"/>
          <w:sz w:val="24"/>
        </w:rPr>
        <w:t>1</w:t>
      </w:r>
      <w:r w:rsidRPr="000833EA">
        <w:rPr>
          <w:rFonts w:hint="eastAsia"/>
          <w:sz w:val="24"/>
        </w:rPr>
        <w:t>中定义的所有焊缝和可能存在的缺陷，都必须满足最高的质量等级</w:t>
      </w:r>
      <w:r w:rsidRPr="000833EA">
        <w:rPr>
          <w:rFonts w:hint="eastAsia"/>
          <w:sz w:val="24"/>
        </w:rPr>
        <w:t>B</w:t>
      </w:r>
      <w:r w:rsidRPr="000833EA">
        <w:rPr>
          <w:rFonts w:hint="eastAsia"/>
          <w:sz w:val="24"/>
        </w:rPr>
        <w:t>级。</w:t>
      </w:r>
    </w:p>
    <w:p w:rsidR="00044CE8" w:rsidRPr="000833EA" w:rsidRDefault="00044CE8" w:rsidP="00044CE8">
      <w:pPr>
        <w:numPr>
          <w:ilvl w:val="0"/>
          <w:numId w:val="4"/>
        </w:numPr>
        <w:spacing w:line="360" w:lineRule="auto"/>
        <w:rPr>
          <w:rFonts w:hint="eastAsia"/>
          <w:sz w:val="24"/>
        </w:rPr>
      </w:pPr>
      <w:r w:rsidRPr="000833EA">
        <w:rPr>
          <w:rFonts w:hint="eastAsia"/>
          <w:sz w:val="24"/>
        </w:rPr>
        <w:t>应对焊缝进行</w:t>
      </w:r>
      <w:r w:rsidRPr="000833EA">
        <w:rPr>
          <w:rFonts w:hint="eastAsia"/>
          <w:sz w:val="24"/>
        </w:rPr>
        <w:t>100%</w:t>
      </w:r>
      <w:r w:rsidRPr="000833EA">
        <w:rPr>
          <w:rFonts w:hint="eastAsia"/>
          <w:sz w:val="24"/>
        </w:rPr>
        <w:t>超声波检测（执行标准</w:t>
      </w:r>
      <w:r w:rsidRPr="000833EA">
        <w:rPr>
          <w:rFonts w:hint="eastAsia"/>
          <w:sz w:val="24"/>
        </w:rPr>
        <w:t>GB/T11345</w:t>
      </w:r>
      <w:r w:rsidRPr="000833EA">
        <w:rPr>
          <w:rFonts w:hint="eastAsia"/>
          <w:sz w:val="24"/>
        </w:rPr>
        <w:t>等级</w:t>
      </w:r>
      <w:r w:rsidRPr="000833EA">
        <w:rPr>
          <w:rFonts w:hint="eastAsia"/>
          <w:sz w:val="24"/>
        </w:rPr>
        <w:t>C</w:t>
      </w:r>
      <w:r w:rsidRPr="000833EA">
        <w:rPr>
          <w:rFonts w:hint="eastAsia"/>
          <w:sz w:val="24"/>
        </w:rPr>
        <w:t>和</w:t>
      </w:r>
      <w:r w:rsidRPr="000833EA">
        <w:rPr>
          <w:rFonts w:hint="eastAsia"/>
          <w:sz w:val="24"/>
        </w:rPr>
        <w:t>GB/T 40732</w:t>
      </w:r>
      <w:r w:rsidRPr="000833EA">
        <w:rPr>
          <w:rFonts w:hint="eastAsia"/>
          <w:sz w:val="24"/>
        </w:rPr>
        <w:t>，验收标准</w:t>
      </w:r>
      <w:r w:rsidRPr="000833EA">
        <w:rPr>
          <w:rFonts w:hint="eastAsia"/>
          <w:sz w:val="24"/>
        </w:rPr>
        <w:t xml:space="preserve">GB/T29712 </w:t>
      </w:r>
      <w:r w:rsidRPr="000833EA">
        <w:rPr>
          <w:rFonts w:hint="eastAsia"/>
          <w:sz w:val="24"/>
        </w:rPr>
        <w:t>等级</w:t>
      </w:r>
      <w:r w:rsidRPr="000833EA">
        <w:rPr>
          <w:rFonts w:hint="eastAsia"/>
          <w:sz w:val="24"/>
        </w:rPr>
        <w:t>2</w:t>
      </w:r>
      <w:r w:rsidRPr="000833EA">
        <w:rPr>
          <w:rFonts w:hint="eastAsia"/>
          <w:sz w:val="24"/>
        </w:rPr>
        <w:t>）、射线检测（执行标准</w:t>
      </w:r>
      <w:r w:rsidRPr="000833EA">
        <w:rPr>
          <w:rFonts w:hint="eastAsia"/>
          <w:sz w:val="24"/>
        </w:rPr>
        <w:t>GB/T3323.1-2019B</w:t>
      </w:r>
      <w:r w:rsidRPr="000833EA">
        <w:rPr>
          <w:rFonts w:hint="eastAsia"/>
          <w:sz w:val="24"/>
        </w:rPr>
        <w:t>级，验收标准</w:t>
      </w:r>
      <w:r w:rsidRPr="000833EA">
        <w:rPr>
          <w:rFonts w:hint="eastAsia"/>
          <w:sz w:val="24"/>
        </w:rPr>
        <w:t xml:space="preserve">GB/T 37910.1-2019 </w:t>
      </w:r>
      <w:r w:rsidRPr="000833EA">
        <w:rPr>
          <w:rFonts w:hint="eastAsia"/>
          <w:sz w:val="24"/>
        </w:rPr>
        <w:t>等级</w:t>
      </w:r>
      <w:r w:rsidRPr="000833EA">
        <w:rPr>
          <w:rFonts w:hint="eastAsia"/>
          <w:sz w:val="24"/>
        </w:rPr>
        <w:t>1</w:t>
      </w:r>
      <w:r w:rsidRPr="000833EA">
        <w:rPr>
          <w:rFonts w:hint="eastAsia"/>
          <w:sz w:val="24"/>
        </w:rPr>
        <w:t>）和渗透测试（执行标准</w:t>
      </w:r>
      <w:r w:rsidRPr="000833EA">
        <w:rPr>
          <w:rFonts w:hint="eastAsia"/>
          <w:sz w:val="24"/>
        </w:rPr>
        <w:t>GB/T 18851</w:t>
      </w:r>
      <w:r w:rsidRPr="000833EA">
        <w:rPr>
          <w:rFonts w:hint="eastAsia"/>
          <w:sz w:val="24"/>
        </w:rPr>
        <w:t>，验收标准</w:t>
      </w:r>
      <w:r w:rsidRPr="000833EA">
        <w:rPr>
          <w:rFonts w:hint="eastAsia"/>
          <w:sz w:val="24"/>
        </w:rPr>
        <w:t>GB/T26953</w:t>
      </w:r>
      <w:r w:rsidRPr="000833EA">
        <w:rPr>
          <w:rFonts w:hint="eastAsia"/>
          <w:sz w:val="24"/>
        </w:rPr>
        <w:t>等级</w:t>
      </w:r>
      <w:r w:rsidRPr="000833EA">
        <w:rPr>
          <w:rFonts w:hint="eastAsia"/>
          <w:sz w:val="24"/>
        </w:rPr>
        <w:t>2X</w:t>
      </w:r>
      <w:r w:rsidRPr="000833EA">
        <w:rPr>
          <w:rFonts w:hint="eastAsia"/>
          <w:sz w:val="24"/>
        </w:rPr>
        <w:t>），以确认焊缝质量符合要求的质量水平。</w:t>
      </w:r>
    </w:p>
    <w:p w:rsidR="00044CE8" w:rsidRPr="000833EA" w:rsidRDefault="00044CE8" w:rsidP="00044CE8">
      <w:pPr>
        <w:numPr>
          <w:ilvl w:val="0"/>
          <w:numId w:val="4"/>
        </w:numPr>
        <w:spacing w:line="360" w:lineRule="auto"/>
        <w:rPr>
          <w:rFonts w:ascii="宋体" w:hAnsi="宋体" w:hint="eastAsia"/>
          <w:sz w:val="24"/>
        </w:rPr>
      </w:pPr>
      <w:r w:rsidRPr="000833EA">
        <w:rPr>
          <w:rFonts w:hint="eastAsia"/>
          <w:sz w:val="24"/>
        </w:rPr>
        <w:t>条件允许下，优先对焊缝采用射线检测方法进行检测，其次是超声波检测方法，确保焊缝达到</w:t>
      </w:r>
      <w:r w:rsidRPr="000833EA">
        <w:rPr>
          <w:rFonts w:hint="eastAsia"/>
          <w:sz w:val="24"/>
        </w:rPr>
        <w:t xml:space="preserve">GB/T 37910.1-2019 </w:t>
      </w:r>
      <w:r w:rsidRPr="000833EA">
        <w:rPr>
          <w:rFonts w:hint="eastAsia"/>
          <w:sz w:val="24"/>
        </w:rPr>
        <w:t>等级</w:t>
      </w:r>
      <w:r w:rsidRPr="000833EA">
        <w:rPr>
          <w:rFonts w:hint="eastAsia"/>
          <w:sz w:val="24"/>
        </w:rPr>
        <w:t>1</w:t>
      </w:r>
      <w:r w:rsidRPr="000833EA">
        <w:rPr>
          <w:rFonts w:hint="eastAsia"/>
          <w:sz w:val="24"/>
        </w:rPr>
        <w:t>或</w:t>
      </w:r>
      <w:r w:rsidRPr="000833EA">
        <w:rPr>
          <w:rFonts w:hint="eastAsia"/>
          <w:sz w:val="24"/>
        </w:rPr>
        <w:t xml:space="preserve">GB/T29712 </w:t>
      </w:r>
      <w:r w:rsidRPr="000833EA">
        <w:rPr>
          <w:rFonts w:hint="eastAsia"/>
          <w:sz w:val="24"/>
        </w:rPr>
        <w:t>等级</w:t>
      </w:r>
      <w:r w:rsidRPr="000833EA">
        <w:rPr>
          <w:rFonts w:hint="eastAsia"/>
          <w:sz w:val="24"/>
        </w:rPr>
        <w:t>2</w:t>
      </w:r>
      <w:r w:rsidRPr="000833EA">
        <w:rPr>
          <w:rFonts w:hint="eastAsia"/>
          <w:sz w:val="24"/>
        </w:rPr>
        <w:t>要求，并做好所有检出缺陷的记录。</w:t>
      </w:r>
    </w:p>
    <w:p w:rsidR="00044CE8" w:rsidRPr="000833EA" w:rsidRDefault="00044CE8" w:rsidP="00044CE8">
      <w:pPr>
        <w:rPr>
          <w:rFonts w:hint="eastAsia"/>
          <w:b/>
          <w:bCs/>
          <w:sz w:val="24"/>
        </w:rPr>
      </w:pPr>
      <w:r w:rsidRPr="000833EA">
        <w:rPr>
          <w:rFonts w:hint="eastAsia"/>
          <w:b/>
          <w:bCs/>
          <w:sz w:val="24"/>
        </w:rPr>
        <w:t xml:space="preserve">2.3.3 </w:t>
      </w:r>
      <w:r w:rsidRPr="000833EA">
        <w:rPr>
          <w:rFonts w:hint="eastAsia"/>
          <w:b/>
          <w:bCs/>
          <w:sz w:val="24"/>
        </w:rPr>
        <w:t>加工要求</w:t>
      </w:r>
    </w:p>
    <w:p w:rsidR="00044CE8" w:rsidRPr="000833EA" w:rsidRDefault="00044CE8" w:rsidP="00044CE8">
      <w:pPr>
        <w:spacing w:line="360" w:lineRule="auto"/>
        <w:ind w:firstLineChars="200" w:firstLine="480"/>
        <w:rPr>
          <w:rFonts w:ascii="宋体" w:hAnsi="宋体"/>
          <w:sz w:val="24"/>
        </w:rPr>
      </w:pPr>
      <w:r w:rsidRPr="000833EA">
        <w:rPr>
          <w:rFonts w:ascii="宋体" w:hAnsi="宋体" w:hint="eastAsia"/>
          <w:sz w:val="24"/>
        </w:rPr>
        <w:t>具体机加工要求见相关图纸。</w:t>
      </w:r>
    </w:p>
    <w:p w:rsidR="00044CE8" w:rsidRPr="000833EA" w:rsidRDefault="00044CE8" w:rsidP="00044CE8">
      <w:pPr>
        <w:rPr>
          <w:rFonts w:hint="eastAsia"/>
          <w:b/>
          <w:bCs/>
          <w:sz w:val="24"/>
        </w:rPr>
      </w:pPr>
      <w:r w:rsidRPr="000833EA">
        <w:rPr>
          <w:rFonts w:hint="eastAsia"/>
          <w:b/>
          <w:bCs/>
          <w:sz w:val="24"/>
        </w:rPr>
        <w:t xml:space="preserve">2.3.4 </w:t>
      </w:r>
      <w:r w:rsidRPr="000833EA">
        <w:rPr>
          <w:rFonts w:hint="eastAsia"/>
          <w:b/>
          <w:bCs/>
          <w:sz w:val="24"/>
        </w:rPr>
        <w:t>清洗、包装以及运输要求，</w:t>
      </w:r>
    </w:p>
    <w:p w:rsidR="00044CE8" w:rsidRPr="000833EA" w:rsidRDefault="00044CE8" w:rsidP="00044CE8">
      <w:pPr>
        <w:numPr>
          <w:ilvl w:val="0"/>
          <w:numId w:val="5"/>
        </w:numPr>
        <w:spacing w:line="360" w:lineRule="auto"/>
        <w:rPr>
          <w:rFonts w:hint="eastAsia"/>
          <w:sz w:val="24"/>
        </w:rPr>
      </w:pPr>
      <w:r w:rsidRPr="000833EA">
        <w:rPr>
          <w:rFonts w:hint="eastAsia"/>
          <w:sz w:val="24"/>
        </w:rPr>
        <w:t>需严格遵从不锈钢真空部件的清洗工艺。</w:t>
      </w:r>
    </w:p>
    <w:p w:rsidR="00044CE8" w:rsidRPr="000833EA" w:rsidRDefault="00044CE8" w:rsidP="00044CE8">
      <w:pPr>
        <w:numPr>
          <w:ilvl w:val="0"/>
          <w:numId w:val="5"/>
        </w:numPr>
        <w:spacing w:line="360" w:lineRule="auto"/>
        <w:rPr>
          <w:rFonts w:hint="eastAsia"/>
          <w:sz w:val="24"/>
        </w:rPr>
      </w:pPr>
      <w:r w:rsidRPr="000833EA">
        <w:rPr>
          <w:rFonts w:hint="eastAsia"/>
          <w:sz w:val="24"/>
        </w:rPr>
        <w:t>选用的适用于不锈钢材质的专用清洗剂品牌、成分及符合的行业标准。</w:t>
      </w:r>
    </w:p>
    <w:p w:rsidR="00044CE8" w:rsidRPr="000833EA" w:rsidRDefault="00044CE8" w:rsidP="00044CE8">
      <w:pPr>
        <w:numPr>
          <w:ilvl w:val="0"/>
          <w:numId w:val="5"/>
        </w:numPr>
        <w:spacing w:line="360" w:lineRule="auto"/>
        <w:rPr>
          <w:rFonts w:hint="eastAsia"/>
          <w:sz w:val="24"/>
        </w:rPr>
      </w:pPr>
      <w:r w:rsidRPr="000833EA">
        <w:rPr>
          <w:rFonts w:hint="eastAsia"/>
          <w:sz w:val="24"/>
        </w:rPr>
        <w:t>清洗工具的类型、</w:t>
      </w:r>
      <w:proofErr w:type="gramStart"/>
      <w:r w:rsidRPr="000833EA">
        <w:rPr>
          <w:rFonts w:hint="eastAsia"/>
          <w:sz w:val="24"/>
        </w:rPr>
        <w:t>材质需</w:t>
      </w:r>
      <w:proofErr w:type="gramEnd"/>
      <w:r w:rsidRPr="000833EA">
        <w:rPr>
          <w:rFonts w:hint="eastAsia"/>
          <w:sz w:val="24"/>
        </w:rPr>
        <w:t>确保清洗过程中不会对零部件表面造成损伤。</w:t>
      </w:r>
    </w:p>
    <w:p w:rsidR="00044CE8" w:rsidRPr="000833EA" w:rsidRDefault="00044CE8" w:rsidP="00044CE8">
      <w:pPr>
        <w:numPr>
          <w:ilvl w:val="0"/>
          <w:numId w:val="5"/>
        </w:numPr>
        <w:spacing w:line="360" w:lineRule="auto"/>
        <w:rPr>
          <w:sz w:val="24"/>
        </w:rPr>
      </w:pPr>
      <w:r w:rsidRPr="000833EA">
        <w:rPr>
          <w:rFonts w:hint="eastAsia"/>
          <w:sz w:val="24"/>
        </w:rPr>
        <w:t>包装需保证在运输过程中材料完好无损。材料的包装要求参照标准</w:t>
      </w:r>
      <w:r w:rsidRPr="000833EA">
        <w:rPr>
          <w:rFonts w:hint="eastAsia"/>
          <w:sz w:val="24"/>
        </w:rPr>
        <w:t xml:space="preserve"> ASTM A700 </w:t>
      </w:r>
      <w:r w:rsidRPr="000833EA">
        <w:rPr>
          <w:rFonts w:hint="eastAsia"/>
          <w:sz w:val="24"/>
        </w:rPr>
        <w:t>执行。</w:t>
      </w:r>
    </w:p>
    <w:p w:rsidR="00044CE8" w:rsidRDefault="00044CE8">
      <w:bookmarkStart w:id="15" w:name="_GoBack"/>
      <w:bookmarkEnd w:id="15"/>
    </w:p>
    <w:sectPr w:rsidR="00044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454FB8"/>
    <w:multiLevelType w:val="singleLevel"/>
    <w:tmpl w:val="B3454FB8"/>
    <w:lvl w:ilvl="0">
      <w:start w:val="1"/>
      <w:numFmt w:val="decimalEnclosedCircleChinese"/>
      <w:suff w:val="nothing"/>
      <w:lvlText w:val="%1　"/>
      <w:lvlJc w:val="left"/>
      <w:pPr>
        <w:ind w:left="0" w:firstLine="400"/>
      </w:pPr>
      <w:rPr>
        <w:rFonts w:hint="eastAsia"/>
      </w:rPr>
    </w:lvl>
  </w:abstractNum>
  <w:abstractNum w:abstractNumId="1" w15:restartNumberingAfterBreak="0">
    <w:nsid w:val="F650983C"/>
    <w:multiLevelType w:val="singleLevel"/>
    <w:tmpl w:val="F650983C"/>
    <w:lvl w:ilvl="0">
      <w:start w:val="2"/>
      <w:numFmt w:val="decimal"/>
      <w:suff w:val="nothing"/>
      <w:lvlText w:val="%1、"/>
      <w:lvlJc w:val="left"/>
    </w:lvl>
  </w:abstractNum>
  <w:abstractNum w:abstractNumId="2" w15:restartNumberingAfterBreak="0">
    <w:nsid w:val="13697A39"/>
    <w:multiLevelType w:val="singleLevel"/>
    <w:tmpl w:val="13697A39"/>
    <w:lvl w:ilvl="0">
      <w:start w:val="1"/>
      <w:numFmt w:val="decimal"/>
      <w:lvlText w:val="(%1)"/>
      <w:lvlJc w:val="left"/>
      <w:pPr>
        <w:ind w:left="425" w:hanging="425"/>
      </w:pPr>
      <w:rPr>
        <w:rFonts w:hint="default"/>
      </w:rPr>
    </w:lvl>
  </w:abstractNum>
  <w:abstractNum w:abstractNumId="3" w15:restartNumberingAfterBreak="0">
    <w:nsid w:val="14EBFF93"/>
    <w:multiLevelType w:val="singleLevel"/>
    <w:tmpl w:val="14EBFF93"/>
    <w:lvl w:ilvl="0">
      <w:start w:val="1"/>
      <w:numFmt w:val="decimal"/>
      <w:lvlText w:val="(%1)"/>
      <w:lvlJc w:val="left"/>
      <w:pPr>
        <w:ind w:left="425" w:hanging="425"/>
      </w:pPr>
      <w:rPr>
        <w:rFonts w:hint="default"/>
      </w:rPr>
    </w:lvl>
  </w:abstractNum>
  <w:abstractNum w:abstractNumId="4" w15:restartNumberingAfterBreak="0">
    <w:nsid w:val="1AAEED3B"/>
    <w:multiLevelType w:val="singleLevel"/>
    <w:tmpl w:val="1AAEED3B"/>
    <w:lvl w:ilvl="0">
      <w:start w:val="1"/>
      <w:numFmt w:val="decimal"/>
      <w:lvlText w:val="(%1)"/>
      <w:lvlJc w:val="left"/>
      <w:pPr>
        <w:ind w:left="425" w:hanging="425"/>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E8"/>
    <w:rsid w:val="0004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BDF31-192C-413C-A13C-6E36B130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CE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044CE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044CE8"/>
    <w:rPr>
      <w:rFonts w:ascii="Times New Roman" w:eastAsia="宋体" w:hAnsi="Times New Roman" w:cs="Times New Roman"/>
      <w:b/>
      <w:bCs/>
      <w:kern w:val="44"/>
      <w:sz w:val="44"/>
      <w:szCs w:val="44"/>
    </w:rPr>
  </w:style>
  <w:style w:type="paragraph" w:styleId="a3">
    <w:name w:val="List Paragraph"/>
    <w:basedOn w:val="a"/>
    <w:uiPriority w:val="34"/>
    <w:qFormat/>
    <w:rsid w:val="00044CE8"/>
    <w:pPr>
      <w:ind w:firstLineChars="200" w:firstLine="420"/>
    </w:pPr>
  </w:style>
  <w:style w:type="character" w:customStyle="1" w:styleId="font21">
    <w:name w:val="font21"/>
    <w:rsid w:val="00044CE8"/>
    <w:rPr>
      <w:rFonts w:ascii="宋体" w:eastAsia="宋体" w:hAnsi="宋体" w:cs="宋体" w:hint="eastAsia"/>
      <w:i w:val="0"/>
      <w:iCs w:val="0"/>
      <w:color w:val="000000"/>
      <w:sz w:val="22"/>
      <w:szCs w:val="22"/>
      <w:u w:val="none"/>
    </w:rPr>
  </w:style>
  <w:style w:type="character" w:customStyle="1" w:styleId="font01">
    <w:name w:val="font01"/>
    <w:rsid w:val="00044CE8"/>
    <w:rPr>
      <w:rFonts w:ascii="Arial" w:hAnsi="Arial" w:cs="Arial" w:hint="default"/>
      <w:i w:val="0"/>
      <w:iCs w:val="0"/>
      <w:color w:val="000000"/>
      <w:sz w:val="22"/>
      <w:szCs w:val="22"/>
      <w:u w:val="none"/>
    </w:rPr>
  </w:style>
  <w:style w:type="character" w:customStyle="1" w:styleId="font31">
    <w:name w:val="font31"/>
    <w:rsid w:val="00044CE8"/>
    <w:rPr>
      <w:rFonts w:ascii="宋体" w:eastAsia="宋体" w:hAnsi="宋体" w:cs="宋体"/>
      <w:i w:val="0"/>
      <w:iCs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2025-04-18T02:57:00Z</dcterms:created>
  <dcterms:modified xsi:type="dcterms:W3CDTF">2025-04-18T02:57:00Z</dcterms:modified>
</cp:coreProperties>
</file>