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b/>
          <w:bCs/>
          <w:kern w:val="32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32"/>
          <w:sz w:val="44"/>
          <w:szCs w:val="44"/>
          <w:lang w:val="en-US" w:eastAsia="zh-CN"/>
        </w:rPr>
        <w:t>淮南新能源研究中心公文发文流程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b/>
          <w:bCs/>
          <w:kern w:val="3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参照《中国科学院公文处理办法》和中国科学院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instrText xml:space="preserve"> HYPERLINK "http://home.ipp.ac.cn/display.asp?id=3206" \o "等离子体物理研究所公文发文流程" \t "http://www.ipp.cas.cn/zhbgs/bgsswzw/wsda/_blank" </w:instrTex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等离子体物理研究所公文发文相关流程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，淮南新能源研究中心（以下简称“淮南中心”）特制定</w:t>
      </w:r>
      <w:bookmarkStart w:id="0" w:name="_GoBack"/>
      <w:bookmarkEnd w:id="0"/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公文发文流程如下：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（一）主办单位拟稿后，从淮南中心综合处领取发文稿纸，填写“标题”、“主办单位及拟稿人”、“主题词”等，提交主办单位领导审核签字，附拟发文件书面材料和电子文档，送淮南中心综合处。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（二）文书专员初审修改后，送淮南中心综合处领导审核。经审核无误后，送淮南中心领导签发。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（三）文书专员校对、登记、编文号后，主办单位领取红头文件纸，按发文格式印制文件，并 交淮南中心综合处办理盖章、装订。主办单位领取并填写文件发放登记表，分发文件。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（四）发文稿纸、正式文件含附件、文件发放登记表交淮南中心档案管理人员存档。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/>
          <w:kern w:val="3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经典美黑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E3865"/>
    <w:rsid w:val="09832281"/>
    <w:rsid w:val="21D660EA"/>
    <w:rsid w:val="2D1D661A"/>
    <w:rsid w:val="33BE1932"/>
    <w:rsid w:val="3E5C6134"/>
    <w:rsid w:val="43DE38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2017-07-21T07:17:00Z</dcterms:created>
  <dc:creator>lenovo</dc:creator>
  <cp:lastModifiedBy>lenovo</cp:lastModifiedBy>
  <dcterms:modified xsi:type="dcterms:W3CDTF">2017-07-24T07:19:12Z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