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2C6B34" w:rsidRPr="002C6B34" w14:paraId="25BA23C4" w14:textId="77777777" w:rsidTr="002C6B34">
        <w:trPr>
          <w:trHeight w:val="750"/>
          <w:tblCellSpacing w:w="0" w:type="dxa"/>
          <w:jc w:val="center"/>
        </w:trPr>
        <w:tc>
          <w:tcPr>
            <w:tcW w:w="0" w:type="auto"/>
            <w:hideMark/>
          </w:tcPr>
          <w:p w14:paraId="0D87970A" w14:textId="77777777" w:rsidR="002C6B34" w:rsidRPr="002C6B34" w:rsidRDefault="002C6B34" w:rsidP="002C6B34">
            <w:pPr>
              <w:widowControl/>
              <w:jc w:val="center"/>
              <w:rPr>
                <w:rFonts w:ascii="宋体" w:eastAsia="宋体" w:hAnsi="宋体" w:cs="宋体"/>
                <w:kern w:val="0"/>
                <w:sz w:val="24"/>
                <w:szCs w:val="24"/>
              </w:rPr>
            </w:pPr>
            <w:r w:rsidRPr="002C6B34">
              <w:rPr>
                <w:rFonts w:ascii="宋体" w:eastAsia="宋体" w:hAnsi="宋体" w:cs="宋体"/>
                <w:kern w:val="0"/>
                <w:sz w:val="24"/>
                <w:szCs w:val="24"/>
              </w:rPr>
              <w:t>关于印发《中国科学院合肥物质科学研究院会议费管理办法》的通知</w:t>
            </w:r>
          </w:p>
        </w:tc>
      </w:tr>
      <w:tr w:rsidR="002C6B34" w:rsidRPr="002C6B34" w14:paraId="49267C5E" w14:textId="77777777" w:rsidTr="002C6B34">
        <w:trPr>
          <w:tblCellSpacing w:w="0" w:type="dxa"/>
          <w:jc w:val="center"/>
        </w:trPr>
        <w:tc>
          <w:tcPr>
            <w:tcW w:w="0" w:type="auto"/>
            <w:hideMark/>
          </w:tcPr>
          <w:tbl>
            <w:tblPr>
              <w:tblW w:w="5000" w:type="pct"/>
              <w:tblCellSpacing w:w="0" w:type="dxa"/>
              <w:shd w:val="clear" w:color="auto" w:fill="F4F4F4"/>
              <w:tblCellMar>
                <w:left w:w="0" w:type="dxa"/>
                <w:right w:w="0" w:type="dxa"/>
              </w:tblCellMar>
              <w:tblLook w:val="04A0" w:firstRow="1" w:lastRow="0" w:firstColumn="1" w:lastColumn="0" w:noHBand="0" w:noVBand="1"/>
            </w:tblPr>
            <w:tblGrid>
              <w:gridCol w:w="1232"/>
              <w:gridCol w:w="2053"/>
              <w:gridCol w:w="821"/>
              <w:gridCol w:w="2052"/>
              <w:gridCol w:w="1642"/>
              <w:gridCol w:w="2700"/>
            </w:tblGrid>
            <w:tr w:rsidR="002C6B34" w:rsidRPr="002C6B34" w14:paraId="1FDC153A" w14:textId="77777777">
              <w:trPr>
                <w:trHeight w:val="405"/>
                <w:tblCellSpacing w:w="0" w:type="dxa"/>
              </w:trPr>
              <w:tc>
                <w:tcPr>
                  <w:tcW w:w="750" w:type="pct"/>
                  <w:shd w:val="clear" w:color="auto" w:fill="F4F4F4"/>
                  <w:vAlign w:val="center"/>
                  <w:hideMark/>
                </w:tcPr>
                <w:p w14:paraId="70FAD477" w14:textId="77777777" w:rsidR="002C6B34" w:rsidRPr="002C6B34" w:rsidRDefault="002C6B34" w:rsidP="002C6B34">
                  <w:pPr>
                    <w:widowControl/>
                    <w:jc w:val="right"/>
                    <w:rPr>
                      <w:rFonts w:ascii="宋体" w:eastAsia="宋体" w:hAnsi="宋体" w:cs="宋体"/>
                      <w:kern w:val="0"/>
                      <w:sz w:val="24"/>
                      <w:szCs w:val="24"/>
                    </w:rPr>
                  </w:pPr>
                  <w:r w:rsidRPr="002C6B34">
                    <w:rPr>
                      <w:rFonts w:ascii="宋体" w:eastAsia="宋体" w:hAnsi="宋体" w:cs="宋体"/>
                      <w:kern w:val="0"/>
                      <w:sz w:val="24"/>
                      <w:szCs w:val="24"/>
                    </w:rPr>
                    <w:t>发表日期：</w:t>
                  </w:r>
                </w:p>
              </w:tc>
              <w:tc>
                <w:tcPr>
                  <w:tcW w:w="1250" w:type="pct"/>
                  <w:shd w:val="clear" w:color="auto" w:fill="F4F4F4"/>
                  <w:vAlign w:val="center"/>
                  <w:hideMark/>
                </w:tcPr>
                <w:p w14:paraId="61B5D742"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2016-11-03 13:01:21</w:t>
                  </w:r>
                </w:p>
              </w:tc>
              <w:tc>
                <w:tcPr>
                  <w:tcW w:w="500" w:type="pct"/>
                  <w:shd w:val="clear" w:color="auto" w:fill="F4F4F4"/>
                  <w:vAlign w:val="center"/>
                  <w:hideMark/>
                </w:tcPr>
                <w:p w14:paraId="180FECE6" w14:textId="77777777" w:rsidR="002C6B34" w:rsidRPr="002C6B34" w:rsidRDefault="002C6B34" w:rsidP="002C6B34">
                  <w:pPr>
                    <w:widowControl/>
                    <w:jc w:val="right"/>
                    <w:rPr>
                      <w:rFonts w:ascii="宋体" w:eastAsia="宋体" w:hAnsi="宋体" w:cs="宋体"/>
                      <w:kern w:val="0"/>
                      <w:sz w:val="24"/>
                      <w:szCs w:val="24"/>
                    </w:rPr>
                  </w:pPr>
                  <w:r w:rsidRPr="002C6B34">
                    <w:rPr>
                      <w:rFonts w:ascii="宋体" w:eastAsia="宋体" w:hAnsi="宋体" w:cs="宋体"/>
                      <w:kern w:val="0"/>
                      <w:sz w:val="24"/>
                      <w:szCs w:val="24"/>
                    </w:rPr>
                    <w:t>作者：</w:t>
                  </w:r>
                </w:p>
              </w:tc>
              <w:tc>
                <w:tcPr>
                  <w:tcW w:w="1250" w:type="pct"/>
                  <w:shd w:val="clear" w:color="auto" w:fill="F4F4F4"/>
                  <w:vAlign w:val="center"/>
                  <w:hideMark/>
                </w:tcPr>
                <w:p w14:paraId="35FFF8F0" w14:textId="77777777" w:rsidR="002C6B34" w:rsidRPr="002C6B34" w:rsidRDefault="002C6B34" w:rsidP="002C6B34">
                  <w:pPr>
                    <w:widowControl/>
                    <w:jc w:val="right"/>
                    <w:rPr>
                      <w:rFonts w:ascii="宋体" w:eastAsia="宋体" w:hAnsi="宋体" w:cs="宋体"/>
                      <w:kern w:val="0"/>
                      <w:sz w:val="24"/>
                      <w:szCs w:val="24"/>
                    </w:rPr>
                  </w:pPr>
                </w:p>
              </w:tc>
              <w:tc>
                <w:tcPr>
                  <w:tcW w:w="1000" w:type="pct"/>
                  <w:shd w:val="clear" w:color="auto" w:fill="F4F4F4"/>
                  <w:vAlign w:val="center"/>
                  <w:hideMark/>
                </w:tcPr>
                <w:p w14:paraId="37FDF0AC"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点击率:</w:t>
                  </w:r>
                </w:p>
              </w:tc>
              <w:tc>
                <w:tcPr>
                  <w:tcW w:w="0" w:type="auto"/>
                  <w:shd w:val="clear" w:color="auto" w:fill="F4F4F4"/>
                  <w:vAlign w:val="center"/>
                  <w:hideMark/>
                </w:tcPr>
                <w:tbl>
                  <w:tblPr>
                    <w:tblpPr w:leftFromText="45" w:rightFromText="45" w:vertAnchor="text" w:tblpXSpec="right" w:tblpYSpec="center"/>
                    <w:tblW w:w="2700" w:type="dxa"/>
                    <w:tblCellSpacing w:w="0" w:type="dxa"/>
                    <w:tblCellMar>
                      <w:left w:w="0" w:type="dxa"/>
                      <w:right w:w="0" w:type="dxa"/>
                    </w:tblCellMar>
                    <w:tblLook w:val="04A0" w:firstRow="1" w:lastRow="0" w:firstColumn="1" w:lastColumn="0" w:noHBand="0" w:noVBand="1"/>
                  </w:tblPr>
                  <w:tblGrid>
                    <w:gridCol w:w="322"/>
                    <w:gridCol w:w="1189"/>
                    <w:gridCol w:w="1189"/>
                  </w:tblGrid>
                  <w:tr w:rsidR="002C6B34" w:rsidRPr="002C6B34" w14:paraId="6FD72E0C" w14:textId="77777777">
                    <w:trPr>
                      <w:tblCellSpacing w:w="0" w:type="dxa"/>
                    </w:trPr>
                    <w:tc>
                      <w:tcPr>
                        <w:tcW w:w="285" w:type="dxa"/>
                        <w:vAlign w:val="center"/>
                        <w:hideMark/>
                      </w:tcPr>
                      <w:p w14:paraId="2406B607" w14:textId="566B0764"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noProof/>
                            <w:kern w:val="0"/>
                            <w:sz w:val="24"/>
                            <w:szCs w:val="24"/>
                          </w:rPr>
                          <w:drawing>
                            <wp:inline distT="0" distB="0" distL="0" distR="0" wp14:anchorId="2EF1CE64" wp14:editId="397EF432">
                              <wp:extent cx="120650" cy="146685"/>
                              <wp:effectExtent l="0" t="0" r="0" b="5715"/>
                              <wp:docPr id="1" name="图片 1" descr="http://demo.ipp.ac.cn/statics/images/cnc3mi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mo.ipp.ac.cn/statics/images/cnc3mid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p>
                    </w:tc>
                    <w:tc>
                      <w:tcPr>
                        <w:tcW w:w="1050" w:type="dxa"/>
                        <w:vAlign w:val="center"/>
                        <w:hideMark/>
                      </w:tcPr>
                      <w:p w14:paraId="3081DF38" w14:textId="77777777" w:rsidR="002C6B34" w:rsidRPr="002C6B34" w:rsidRDefault="002C6B34" w:rsidP="002C6B34">
                        <w:pPr>
                          <w:widowControl/>
                          <w:jc w:val="left"/>
                          <w:rPr>
                            <w:rFonts w:ascii="宋体" w:eastAsia="宋体" w:hAnsi="宋体" w:cs="宋体"/>
                            <w:kern w:val="0"/>
                            <w:sz w:val="24"/>
                            <w:szCs w:val="24"/>
                          </w:rPr>
                        </w:pPr>
                        <w:hyperlink r:id="rId5" w:history="1">
                          <w:r w:rsidRPr="002C6B34">
                            <w:rPr>
                              <w:rFonts w:ascii="宋体" w:eastAsia="宋体" w:hAnsi="宋体" w:cs="宋体"/>
                              <w:color w:val="0000FF"/>
                              <w:kern w:val="0"/>
                              <w:sz w:val="18"/>
                              <w:szCs w:val="18"/>
                              <w:u w:val="single"/>
                            </w:rPr>
                            <w:t>【打印】</w:t>
                          </w:r>
                        </w:hyperlink>
                      </w:p>
                    </w:tc>
                    <w:tc>
                      <w:tcPr>
                        <w:tcW w:w="1050" w:type="dxa"/>
                        <w:vAlign w:val="center"/>
                        <w:hideMark/>
                      </w:tcPr>
                      <w:p w14:paraId="015D356C"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18"/>
                            <w:szCs w:val="18"/>
                          </w:rPr>
                          <w:t>【</w:t>
                        </w:r>
                        <w:hyperlink r:id="rId6" w:history="1">
                          <w:r w:rsidRPr="002C6B34">
                            <w:rPr>
                              <w:rFonts w:ascii="宋体" w:eastAsia="宋体" w:hAnsi="宋体" w:cs="宋体"/>
                              <w:color w:val="0000FF"/>
                              <w:kern w:val="0"/>
                              <w:sz w:val="18"/>
                              <w:szCs w:val="18"/>
                              <w:u w:val="single"/>
                            </w:rPr>
                            <w:t>关闭</w:t>
                          </w:r>
                        </w:hyperlink>
                        <w:r w:rsidRPr="002C6B34">
                          <w:rPr>
                            <w:rFonts w:ascii="宋体" w:eastAsia="宋体" w:hAnsi="宋体" w:cs="宋体"/>
                            <w:kern w:val="0"/>
                            <w:sz w:val="18"/>
                            <w:szCs w:val="18"/>
                          </w:rPr>
                          <w:t>】</w:t>
                        </w:r>
                      </w:p>
                    </w:tc>
                  </w:tr>
                </w:tbl>
                <w:p w14:paraId="2D0E7CF2" w14:textId="77777777" w:rsidR="002C6B34" w:rsidRPr="002C6B34" w:rsidRDefault="002C6B34" w:rsidP="002C6B34">
                  <w:pPr>
                    <w:widowControl/>
                    <w:jc w:val="right"/>
                    <w:rPr>
                      <w:rFonts w:ascii="宋体" w:eastAsia="宋体" w:hAnsi="宋体" w:cs="宋体"/>
                      <w:kern w:val="0"/>
                      <w:sz w:val="24"/>
                      <w:szCs w:val="24"/>
                    </w:rPr>
                  </w:pPr>
                </w:p>
              </w:tc>
            </w:tr>
          </w:tbl>
          <w:p w14:paraId="59270638" w14:textId="77777777" w:rsidR="002C6B34" w:rsidRPr="002C6B34" w:rsidRDefault="002C6B34" w:rsidP="002C6B34">
            <w:pPr>
              <w:widowControl/>
              <w:jc w:val="left"/>
              <w:rPr>
                <w:rFonts w:ascii="宋体" w:eastAsia="宋体" w:hAnsi="宋体" w:cs="宋体"/>
                <w:kern w:val="0"/>
                <w:sz w:val="24"/>
                <w:szCs w:val="24"/>
              </w:rPr>
            </w:pPr>
          </w:p>
        </w:tc>
      </w:tr>
      <w:tr w:rsidR="002C6B34" w:rsidRPr="002C6B34" w14:paraId="00AEFF96" w14:textId="77777777" w:rsidTr="002C6B34">
        <w:trPr>
          <w:tblCellSpacing w:w="0" w:type="dxa"/>
          <w:jc w:val="center"/>
        </w:trPr>
        <w:tc>
          <w:tcPr>
            <w:tcW w:w="0" w:type="auto"/>
            <w:tcMar>
              <w:top w:w="300" w:type="dxa"/>
              <w:left w:w="0" w:type="dxa"/>
              <w:bottom w:w="150" w:type="dxa"/>
              <w:right w:w="0" w:type="dxa"/>
            </w:tcMar>
            <w:hideMark/>
          </w:tcPr>
          <w:p w14:paraId="647DFCCF" w14:textId="77777777" w:rsidR="002C6B34" w:rsidRPr="002C6B34" w:rsidRDefault="002C6B34" w:rsidP="002C6B34">
            <w:pPr>
              <w:widowControl/>
              <w:jc w:val="center"/>
              <w:rPr>
                <w:rFonts w:ascii="宋体" w:eastAsia="宋体" w:hAnsi="宋体" w:cs="宋体"/>
                <w:kern w:val="0"/>
                <w:sz w:val="24"/>
                <w:szCs w:val="24"/>
              </w:rPr>
            </w:pPr>
            <w:r w:rsidRPr="002C6B34">
              <w:rPr>
                <w:rFonts w:ascii="宋体" w:eastAsia="宋体" w:hAnsi="宋体" w:cs="宋体"/>
                <w:b/>
                <w:bCs/>
                <w:kern w:val="0"/>
                <w:szCs w:val="21"/>
              </w:rPr>
              <w:t>关于印发《中国科学院合肥物质科学研究院</w:t>
            </w:r>
            <w:r w:rsidRPr="002C6B34">
              <w:rPr>
                <w:rFonts w:ascii="宋体" w:eastAsia="宋体" w:hAnsi="宋体" w:cs="宋体"/>
                <w:b/>
                <w:bCs/>
                <w:kern w:val="0"/>
                <w:szCs w:val="21"/>
              </w:rPr>
              <w:br/>
              <w:t>会议费管理办法》的通知</w:t>
            </w:r>
          </w:p>
          <w:p w14:paraId="50588929"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研究院各单位：</w:t>
            </w:r>
          </w:p>
          <w:p w14:paraId="6F92BC50"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    为落实国家关于推进科技领域简政放权、放管结合、优化服务的要求，进一步加强和规范中科院合肥物质科学研究院会议费管理，根据中办、国办《关于进一步完善中央财政科研项目资金管理等政策的若干意见》，参照《财政部、国家机关事务管理局、中共中央直属机关事务管理局关于印发&lt;中央和国家机关会议费管理办法&gt;的通知》（</w:t>
            </w:r>
            <w:proofErr w:type="gramStart"/>
            <w:r w:rsidRPr="002C6B34">
              <w:rPr>
                <w:rFonts w:ascii="宋体" w:eastAsia="宋体" w:hAnsi="宋体" w:cs="宋体"/>
                <w:kern w:val="0"/>
                <w:sz w:val="24"/>
                <w:szCs w:val="24"/>
              </w:rPr>
              <w:t>财行〔2016〕</w:t>
            </w:r>
            <w:proofErr w:type="gramEnd"/>
            <w:r w:rsidRPr="002C6B34">
              <w:rPr>
                <w:rFonts w:ascii="宋体" w:eastAsia="宋体" w:hAnsi="宋体" w:cs="宋体"/>
                <w:kern w:val="0"/>
                <w:sz w:val="24"/>
                <w:szCs w:val="24"/>
              </w:rPr>
              <w:t>214号）以及《中国科学院会议费管理办法（试行）》，结合合肥研究院实际，制定了《中国科学院合肥物质科学研究院会议费管理办法》。现印发给你们,从2016年11月1日起施行。</w:t>
            </w:r>
            <w:r w:rsidRPr="002C6B34">
              <w:rPr>
                <w:rFonts w:ascii="宋体" w:eastAsia="宋体" w:hAnsi="宋体" w:cs="宋体"/>
                <w:kern w:val="0"/>
                <w:sz w:val="24"/>
                <w:szCs w:val="24"/>
              </w:rPr>
              <w:br/>
              <w:t> </w:t>
            </w:r>
            <w:r w:rsidRPr="002C6B34">
              <w:rPr>
                <w:rFonts w:ascii="宋体" w:eastAsia="宋体" w:hAnsi="宋体" w:cs="宋体"/>
                <w:kern w:val="0"/>
                <w:sz w:val="24"/>
                <w:szCs w:val="24"/>
              </w:rPr>
              <w:br/>
              <w:t xml:space="preserve">                                  </w:t>
            </w:r>
          </w:p>
          <w:p w14:paraId="6B4F41C5" w14:textId="77777777" w:rsidR="002C6B34" w:rsidRPr="002C6B34" w:rsidRDefault="002C6B34" w:rsidP="002C6B34">
            <w:pPr>
              <w:widowControl/>
              <w:jc w:val="right"/>
              <w:rPr>
                <w:rFonts w:ascii="宋体" w:eastAsia="宋体" w:hAnsi="宋体" w:cs="宋体"/>
                <w:kern w:val="0"/>
                <w:sz w:val="24"/>
                <w:szCs w:val="24"/>
              </w:rPr>
            </w:pPr>
            <w:r w:rsidRPr="002C6B34">
              <w:rPr>
                <w:rFonts w:ascii="宋体" w:eastAsia="宋体" w:hAnsi="宋体" w:cs="宋体"/>
                <w:kern w:val="0"/>
                <w:sz w:val="24"/>
                <w:szCs w:val="24"/>
              </w:rPr>
              <w:t>中国科学院合肥物质科学研究院</w:t>
            </w:r>
            <w:r w:rsidRPr="002C6B34">
              <w:rPr>
                <w:rFonts w:ascii="宋体" w:eastAsia="宋体" w:hAnsi="宋体" w:cs="宋体"/>
                <w:kern w:val="0"/>
                <w:sz w:val="24"/>
                <w:szCs w:val="24"/>
              </w:rPr>
              <w:br/>
              <w:t>2016年10月27日</w:t>
            </w:r>
          </w:p>
          <w:p w14:paraId="5A9B1462" w14:textId="77777777" w:rsidR="002C6B34" w:rsidRPr="002C6B34" w:rsidRDefault="002C6B34" w:rsidP="002C6B34">
            <w:pPr>
              <w:widowControl/>
              <w:jc w:val="left"/>
              <w:rPr>
                <w:rFonts w:ascii="宋体" w:eastAsia="宋体" w:hAnsi="宋体" w:cs="宋体"/>
                <w:kern w:val="0"/>
                <w:sz w:val="24"/>
                <w:szCs w:val="24"/>
              </w:rPr>
            </w:pPr>
          </w:p>
          <w:p w14:paraId="0A69CA26" w14:textId="77777777" w:rsidR="002C6B34" w:rsidRPr="002C6B34" w:rsidRDefault="002C6B34" w:rsidP="002C6B34">
            <w:pPr>
              <w:widowControl/>
              <w:spacing w:before="240" w:after="240"/>
              <w:jc w:val="center"/>
              <w:rPr>
                <w:rFonts w:ascii="宋体" w:eastAsia="宋体" w:hAnsi="宋体" w:cs="宋体"/>
                <w:kern w:val="0"/>
                <w:sz w:val="24"/>
                <w:szCs w:val="24"/>
              </w:rPr>
            </w:pPr>
            <w:r w:rsidRPr="002C6B34">
              <w:rPr>
                <w:rFonts w:ascii="方正小标宋简体" w:eastAsia="方正小标宋简体" w:hAnsi="宋体" w:cs="宋体" w:hint="eastAsia"/>
                <w:b/>
                <w:bCs/>
                <w:kern w:val="0"/>
                <w:sz w:val="18"/>
                <w:szCs w:val="18"/>
              </w:rPr>
              <w:t>中国科学院合肥物质科学研究院</w:t>
            </w:r>
          </w:p>
          <w:p w14:paraId="177CBF6A" w14:textId="77777777" w:rsidR="002C6B34" w:rsidRPr="002C6B34" w:rsidRDefault="002C6B34" w:rsidP="002C6B34">
            <w:pPr>
              <w:widowControl/>
              <w:jc w:val="center"/>
              <w:rPr>
                <w:rFonts w:ascii="宋体" w:eastAsia="宋体" w:hAnsi="宋体" w:cs="宋体"/>
                <w:kern w:val="0"/>
                <w:sz w:val="24"/>
                <w:szCs w:val="24"/>
              </w:rPr>
            </w:pPr>
            <w:r w:rsidRPr="002C6B34">
              <w:rPr>
                <w:rFonts w:ascii="方正小标宋简体" w:eastAsia="方正小标宋简体" w:hAnsi="宋体" w:cs="宋体" w:hint="eastAsia"/>
                <w:b/>
                <w:bCs/>
                <w:kern w:val="0"/>
                <w:sz w:val="18"/>
                <w:szCs w:val="18"/>
              </w:rPr>
              <w:t>会议费管理办法</w:t>
            </w:r>
            <w:r w:rsidRPr="002C6B34">
              <w:rPr>
                <w:rFonts w:ascii="宋体" w:eastAsia="宋体" w:hAnsi="宋体" w:cs="宋体"/>
                <w:kern w:val="0"/>
                <w:sz w:val="24"/>
                <w:szCs w:val="24"/>
              </w:rPr>
              <w:br/>
            </w:r>
            <w:r w:rsidRPr="002C6B34">
              <w:rPr>
                <w:rFonts w:ascii="宋体" w:eastAsia="宋体" w:hAnsi="宋体" w:cs="宋体"/>
                <w:b/>
                <w:bCs/>
                <w:kern w:val="0"/>
                <w:sz w:val="24"/>
                <w:szCs w:val="24"/>
              </w:rPr>
              <w:t>第一章  总  则</w:t>
            </w:r>
          </w:p>
          <w:p w14:paraId="27C81469"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第一条 </w:t>
            </w:r>
            <w:r w:rsidRPr="002C6B34">
              <w:rPr>
                <w:rFonts w:ascii="宋体" w:eastAsia="宋体" w:hAnsi="宋体" w:cs="宋体"/>
                <w:kern w:val="0"/>
                <w:sz w:val="24"/>
                <w:szCs w:val="24"/>
              </w:rPr>
              <w:t> 为落实国家关于推进科技领域简政放权、放管结合、优化服务的要求，进一步加强和规范研究院会议费管理，根据中办、国办《关于进一步完善中央财政科研项目资金管理等政策的若干意见》，参照《财政部、国家机关事务管理局、中共中央直属机关事务管理局关于印发&lt;中央和国家机关会议费管理办法&gt;的通知》（</w:t>
            </w:r>
            <w:proofErr w:type="gramStart"/>
            <w:r w:rsidRPr="002C6B34">
              <w:rPr>
                <w:rFonts w:ascii="宋体" w:eastAsia="宋体" w:hAnsi="宋体" w:cs="宋体"/>
                <w:kern w:val="0"/>
                <w:sz w:val="24"/>
                <w:szCs w:val="24"/>
              </w:rPr>
              <w:t>财行〔2016〕</w:t>
            </w:r>
            <w:proofErr w:type="gramEnd"/>
            <w:r w:rsidRPr="002C6B34">
              <w:rPr>
                <w:rFonts w:ascii="宋体" w:eastAsia="宋体" w:hAnsi="宋体" w:cs="宋体"/>
                <w:kern w:val="0"/>
                <w:sz w:val="24"/>
                <w:szCs w:val="24"/>
              </w:rPr>
              <w:t>214号）以及《中国科学院会议费管理办法（试行）》，结合研究院实际，制定本办法。</w:t>
            </w:r>
          </w:p>
          <w:p w14:paraId="41C3BDE3"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第二条</w:t>
            </w:r>
            <w:r w:rsidRPr="002C6B34">
              <w:rPr>
                <w:rFonts w:ascii="宋体" w:eastAsia="宋体" w:hAnsi="宋体" w:cs="宋体"/>
                <w:kern w:val="0"/>
                <w:sz w:val="24"/>
                <w:szCs w:val="24"/>
              </w:rPr>
              <w:t xml:space="preserve">　 本办法所指会议是各单位主办或承办且在国内召开的以科学研究、决策咨询、学术交流、成果转移转化等为主要内容的各种会议，如学术会议、研讨会、评审会、座谈会、答辩会等。</w:t>
            </w:r>
          </w:p>
          <w:p w14:paraId="0D587AB8"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第三条 </w:t>
            </w:r>
            <w:r w:rsidRPr="002C6B34">
              <w:rPr>
                <w:rFonts w:ascii="宋体" w:eastAsia="宋体" w:hAnsi="宋体" w:cs="宋体"/>
                <w:kern w:val="0"/>
                <w:sz w:val="24"/>
                <w:szCs w:val="24"/>
              </w:rPr>
              <w:t>各单位应严格控制行政会议数量和规模；召开业务性会议应当按照实事求是、精简高效、厉行节约的原则，按照科研教学活动的需求确定会议数量、天数和人数。</w:t>
            </w:r>
          </w:p>
          <w:p w14:paraId="1668A2BD" w14:textId="77777777" w:rsidR="002C6B34" w:rsidRPr="002C6B34" w:rsidRDefault="002C6B34" w:rsidP="002C6B34">
            <w:pPr>
              <w:widowControl/>
              <w:jc w:val="center"/>
              <w:rPr>
                <w:rFonts w:ascii="宋体" w:eastAsia="宋体" w:hAnsi="宋体" w:cs="宋体"/>
                <w:kern w:val="0"/>
                <w:sz w:val="24"/>
                <w:szCs w:val="24"/>
              </w:rPr>
            </w:pPr>
            <w:r w:rsidRPr="002C6B34">
              <w:rPr>
                <w:rFonts w:ascii="宋体" w:eastAsia="宋体" w:hAnsi="宋体" w:cs="宋体"/>
                <w:b/>
                <w:bCs/>
                <w:kern w:val="0"/>
                <w:sz w:val="24"/>
                <w:szCs w:val="24"/>
              </w:rPr>
              <w:t>第二章　范围和标准</w:t>
            </w:r>
          </w:p>
          <w:p w14:paraId="4737E17C"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第四条</w:t>
            </w:r>
            <w:r w:rsidRPr="002C6B34">
              <w:rPr>
                <w:rFonts w:ascii="宋体" w:eastAsia="宋体" w:hAnsi="宋体" w:cs="宋体"/>
                <w:kern w:val="0"/>
                <w:sz w:val="24"/>
                <w:szCs w:val="24"/>
              </w:rPr>
              <w:t xml:space="preserve">　会议费支出范围包括会议住宿费、伙食费和其他费用。其他费用包括会议场所租赁费、交通费、文件印刷费、办公用品费、医药费和会议服务费等。</w:t>
            </w:r>
          </w:p>
          <w:p w14:paraId="45D22E0F"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第五条</w:t>
            </w:r>
            <w:r w:rsidRPr="002C6B34">
              <w:rPr>
                <w:rFonts w:ascii="宋体" w:eastAsia="宋体" w:hAnsi="宋体" w:cs="宋体"/>
                <w:kern w:val="0"/>
                <w:sz w:val="24"/>
                <w:szCs w:val="24"/>
              </w:rPr>
              <w:t>  会议费实行综合定额控制，各项费用之间可以调剂使用。会议</w:t>
            </w:r>
            <w:proofErr w:type="gramStart"/>
            <w:r w:rsidRPr="002C6B34">
              <w:rPr>
                <w:rFonts w:ascii="宋体" w:eastAsia="宋体" w:hAnsi="宋体" w:cs="宋体"/>
                <w:kern w:val="0"/>
                <w:sz w:val="24"/>
                <w:szCs w:val="24"/>
              </w:rPr>
              <w:t>费综合</w:t>
            </w:r>
            <w:proofErr w:type="gramEnd"/>
            <w:r w:rsidRPr="002C6B34">
              <w:rPr>
                <w:rFonts w:ascii="宋体" w:eastAsia="宋体" w:hAnsi="宋体" w:cs="宋体"/>
                <w:kern w:val="0"/>
                <w:sz w:val="24"/>
                <w:szCs w:val="24"/>
              </w:rPr>
              <w:t>定额标准如下：</w:t>
            </w:r>
          </w:p>
          <w:p w14:paraId="2B3DD163" w14:textId="77777777" w:rsidR="002C6B34" w:rsidRPr="002C6B34" w:rsidRDefault="002C6B34" w:rsidP="002C6B34">
            <w:pPr>
              <w:widowControl/>
              <w:jc w:val="right"/>
              <w:rPr>
                <w:rFonts w:ascii="宋体" w:eastAsia="宋体" w:hAnsi="宋体" w:cs="宋体"/>
                <w:kern w:val="0"/>
                <w:sz w:val="24"/>
                <w:szCs w:val="24"/>
              </w:rPr>
            </w:pPr>
            <w:r w:rsidRPr="002C6B34">
              <w:rPr>
                <w:rFonts w:ascii="宋体" w:eastAsia="宋体" w:hAnsi="宋体" w:cs="宋体"/>
                <w:kern w:val="0"/>
                <w:sz w:val="24"/>
                <w:szCs w:val="24"/>
              </w:rPr>
              <w:t>单位：元／人天</w:t>
            </w:r>
          </w:p>
          <w:tbl>
            <w:tblPr>
              <w:tblW w:w="8805" w:type="dxa"/>
              <w:tblCellSpacing w:w="0" w:type="dxa"/>
              <w:tblCellMar>
                <w:left w:w="0" w:type="dxa"/>
                <w:right w:w="0" w:type="dxa"/>
              </w:tblCellMar>
              <w:tblLook w:val="04A0" w:firstRow="1" w:lastRow="0" w:firstColumn="1" w:lastColumn="0" w:noHBand="0" w:noVBand="1"/>
            </w:tblPr>
            <w:tblGrid>
              <w:gridCol w:w="2202"/>
              <w:gridCol w:w="2201"/>
              <w:gridCol w:w="2201"/>
              <w:gridCol w:w="2201"/>
            </w:tblGrid>
            <w:tr w:rsidR="002C6B34" w:rsidRPr="002C6B34" w14:paraId="5190EFC8" w14:textId="77777777" w:rsidTr="002C6B34">
              <w:trPr>
                <w:trHeight w:val="690"/>
                <w:tblCellSpacing w:w="0" w:type="dxa"/>
              </w:trPr>
              <w:tc>
                <w:tcPr>
                  <w:tcW w:w="2205" w:type="dxa"/>
                  <w:vAlign w:val="center"/>
                  <w:hideMark/>
                </w:tcPr>
                <w:p w14:paraId="7D9697EE"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lastRenderedPageBreak/>
                    <w:t>住宿费</w:t>
                  </w:r>
                </w:p>
              </w:tc>
              <w:tc>
                <w:tcPr>
                  <w:tcW w:w="2205" w:type="dxa"/>
                  <w:vAlign w:val="center"/>
                  <w:hideMark/>
                </w:tcPr>
                <w:p w14:paraId="154F84EB"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伙食费</w:t>
                  </w:r>
                </w:p>
              </w:tc>
              <w:tc>
                <w:tcPr>
                  <w:tcW w:w="2205" w:type="dxa"/>
                  <w:vAlign w:val="center"/>
                  <w:hideMark/>
                </w:tcPr>
                <w:p w14:paraId="26AADDCD"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其他费用</w:t>
                  </w:r>
                </w:p>
              </w:tc>
              <w:tc>
                <w:tcPr>
                  <w:tcW w:w="2205" w:type="dxa"/>
                  <w:vAlign w:val="center"/>
                  <w:hideMark/>
                </w:tcPr>
                <w:p w14:paraId="040BBE52"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合计</w:t>
                  </w:r>
                </w:p>
              </w:tc>
            </w:tr>
            <w:tr w:rsidR="002C6B34" w:rsidRPr="002C6B34" w14:paraId="535DF748" w14:textId="77777777" w:rsidTr="002C6B34">
              <w:trPr>
                <w:trHeight w:val="345"/>
                <w:tblCellSpacing w:w="0" w:type="dxa"/>
              </w:trPr>
              <w:tc>
                <w:tcPr>
                  <w:tcW w:w="2205" w:type="dxa"/>
                  <w:vAlign w:val="center"/>
                  <w:hideMark/>
                </w:tcPr>
                <w:p w14:paraId="404BBB00"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340</w:t>
                  </w:r>
                </w:p>
              </w:tc>
              <w:tc>
                <w:tcPr>
                  <w:tcW w:w="2205" w:type="dxa"/>
                  <w:vAlign w:val="center"/>
                  <w:hideMark/>
                </w:tcPr>
                <w:p w14:paraId="3451C5B1"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130</w:t>
                  </w:r>
                </w:p>
              </w:tc>
              <w:tc>
                <w:tcPr>
                  <w:tcW w:w="2205" w:type="dxa"/>
                  <w:vAlign w:val="center"/>
                  <w:hideMark/>
                </w:tcPr>
                <w:p w14:paraId="4019F736"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80</w:t>
                  </w:r>
                </w:p>
              </w:tc>
              <w:tc>
                <w:tcPr>
                  <w:tcW w:w="2205" w:type="dxa"/>
                  <w:vAlign w:val="center"/>
                  <w:hideMark/>
                </w:tcPr>
                <w:p w14:paraId="3F2D9946" w14:textId="77777777" w:rsidR="002C6B34" w:rsidRPr="002C6B34" w:rsidRDefault="002C6B34" w:rsidP="002C6B34">
                  <w:pPr>
                    <w:widowControl/>
                    <w:jc w:val="left"/>
                    <w:rPr>
                      <w:rFonts w:ascii="宋体" w:eastAsia="宋体" w:hAnsi="宋体" w:cs="宋体"/>
                      <w:kern w:val="0"/>
                      <w:sz w:val="24"/>
                      <w:szCs w:val="24"/>
                    </w:rPr>
                  </w:pPr>
                  <w:r w:rsidRPr="002C6B34">
                    <w:rPr>
                      <w:rFonts w:ascii="宋体" w:eastAsia="宋体" w:hAnsi="宋体" w:cs="宋体"/>
                      <w:kern w:val="0"/>
                      <w:sz w:val="24"/>
                      <w:szCs w:val="24"/>
                    </w:rPr>
                    <w:t>550</w:t>
                  </w:r>
                </w:p>
              </w:tc>
            </w:tr>
          </w:tbl>
          <w:p w14:paraId="56E471BA"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综合定额标准是会议费开支的基本控制额度。各单位可依据综合定额标准根据季节性价格变动以及开会地点等情况允许一定的浮动，并经单位审批方可执行。各单位可参考同行业会议费标准。</w:t>
            </w:r>
          </w:p>
          <w:p w14:paraId="14EBCDFB"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参加会议的外籍知名专家（来自不超过2个国家）和院士达到3人且占参会人数三分之一以上的，综合定额标准可提高20%。</w:t>
            </w:r>
          </w:p>
          <w:p w14:paraId="3549CEC1" w14:textId="77777777" w:rsidR="002C6B34" w:rsidRPr="002C6B34" w:rsidRDefault="002C6B34" w:rsidP="002C6B34">
            <w:pPr>
              <w:widowControl/>
              <w:jc w:val="center"/>
              <w:rPr>
                <w:rFonts w:ascii="宋体" w:eastAsia="宋体" w:hAnsi="宋体" w:cs="宋体"/>
                <w:kern w:val="0"/>
                <w:sz w:val="24"/>
                <w:szCs w:val="24"/>
              </w:rPr>
            </w:pPr>
            <w:r w:rsidRPr="002C6B34">
              <w:rPr>
                <w:rFonts w:ascii="宋体" w:eastAsia="宋体" w:hAnsi="宋体" w:cs="宋体"/>
                <w:b/>
                <w:bCs/>
                <w:kern w:val="0"/>
                <w:sz w:val="24"/>
                <w:szCs w:val="24"/>
              </w:rPr>
              <w:t>第三章     会议费管理</w:t>
            </w:r>
          </w:p>
          <w:p w14:paraId="6B8DA145"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第六条</w:t>
            </w:r>
            <w:r w:rsidRPr="002C6B34">
              <w:rPr>
                <w:rFonts w:ascii="宋体" w:eastAsia="宋体" w:hAnsi="宋体" w:cs="宋体"/>
                <w:kern w:val="0"/>
                <w:sz w:val="24"/>
                <w:szCs w:val="24"/>
              </w:rPr>
              <w:t>  各单位应当建立会议计划编报和审批制度。会议计划（包含会议名称、召开理由、主要内容、时间地点、参会人数、所需经费及列支渠道等）原则上经单位审定后执行。</w:t>
            </w:r>
          </w:p>
          <w:p w14:paraId="3370C822"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第七条 </w:t>
            </w:r>
            <w:r w:rsidRPr="002C6B34">
              <w:rPr>
                <w:rFonts w:ascii="宋体" w:eastAsia="宋体" w:hAnsi="宋体" w:cs="宋体"/>
                <w:kern w:val="0"/>
                <w:sz w:val="24"/>
                <w:szCs w:val="24"/>
              </w:rPr>
              <w:t> 会议费应纳入单位预算，并应当严格控制预算规模。</w:t>
            </w:r>
          </w:p>
          <w:p w14:paraId="08BA81C5"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第八条 </w:t>
            </w:r>
            <w:r w:rsidRPr="002C6B34">
              <w:rPr>
                <w:rFonts w:ascii="宋体" w:eastAsia="宋体" w:hAnsi="宋体" w:cs="宋体"/>
                <w:kern w:val="0"/>
                <w:sz w:val="24"/>
                <w:szCs w:val="24"/>
              </w:rPr>
              <w:t> 各单位应建立会议费公示制度，对非涉密会议的名称、主要内容、参会人数、经费开支情况等信息在单位内部公开，具备条件时向社会公开。</w:t>
            </w:r>
          </w:p>
          <w:p w14:paraId="761105A1"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第九条</w:t>
            </w:r>
            <w:r w:rsidRPr="002C6B34">
              <w:rPr>
                <w:rFonts w:ascii="宋体" w:eastAsia="宋体" w:hAnsi="宋体" w:cs="宋体"/>
                <w:kern w:val="0"/>
                <w:sz w:val="24"/>
                <w:szCs w:val="24"/>
              </w:rPr>
              <w:t>  会议结束后，经办人员应持实际发生的会议相关票据及时办理报销手续。原则上会议费报销应提供会议审批文件、会议通知、会议日程、会议预算、实际参会人员签到表、会议服务单位提供的费用原始明细单据、电子结算单等凭证。</w:t>
            </w:r>
          </w:p>
          <w:p w14:paraId="0611F1FF"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财务部门要严格审核会议费开支，对未列入年度会议计划或未经批准召开会议的，以及超范围、超标准的开支不予报销。</w:t>
            </w:r>
          </w:p>
          <w:p w14:paraId="797D6487"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第十条</w:t>
            </w:r>
            <w:r w:rsidRPr="002C6B34">
              <w:rPr>
                <w:rFonts w:ascii="宋体" w:eastAsia="宋体" w:hAnsi="宋体" w:cs="宋体"/>
                <w:kern w:val="0"/>
                <w:sz w:val="24"/>
                <w:szCs w:val="24"/>
              </w:rPr>
              <w:t>  各单位召开会议应优先安排在单位内部会议场所进行，并改进会议形式，充分运用电视电话、网络视频等现代信息技术手段，降低会议成本，提高会议效率。各单位不得到党中央、国务院明令禁止的风景名胜区召开会议（处于风景名胜区的单位在本单位内部召开的会议除外）。</w:t>
            </w:r>
          </w:p>
          <w:p w14:paraId="5A868547"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第十一条 </w:t>
            </w:r>
            <w:r w:rsidRPr="002C6B34">
              <w:rPr>
                <w:rFonts w:ascii="宋体" w:eastAsia="宋体" w:hAnsi="宋体" w:cs="宋体"/>
                <w:kern w:val="0"/>
                <w:sz w:val="24"/>
                <w:szCs w:val="24"/>
              </w:rPr>
              <w:t> 会议代表参加会议所发生的城市间交通费，原则上由参会人员所在单位报销；确因工作需要，邀请专家、学者和有关人员参加会议，对确需负担的城市间交通费、国际旅费，可由主办单位在会议费中报销，也可按差旅费规定报销。</w:t>
            </w:r>
          </w:p>
          <w:p w14:paraId="75B3E6E8"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第十二条 </w:t>
            </w:r>
            <w:r w:rsidRPr="002C6B34">
              <w:rPr>
                <w:rFonts w:ascii="宋体" w:eastAsia="宋体" w:hAnsi="宋体" w:cs="宋体"/>
                <w:kern w:val="0"/>
                <w:sz w:val="24"/>
                <w:szCs w:val="24"/>
              </w:rPr>
              <w:t> 单位举办的无外地代表参加的会议，原则上不安排住宿，因特殊情况需要安排住宿的，需提前审批。</w:t>
            </w:r>
          </w:p>
          <w:p w14:paraId="11AE44A0"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第十三条</w:t>
            </w:r>
            <w:r w:rsidRPr="002C6B34">
              <w:rPr>
                <w:rFonts w:ascii="宋体" w:eastAsia="宋体" w:hAnsi="宋体" w:cs="宋体"/>
                <w:kern w:val="0"/>
                <w:sz w:val="24"/>
                <w:szCs w:val="24"/>
              </w:rPr>
              <w:t>  会议收取注册费、会务费、资助费等，应遵循“收支两条线”的原则，由单位财务统一管理。较大规模会议可委托具有相应资质的会议公司提供会议服务，应签订合同并按合同据实结算，会议收支结算表作为会议支出报销凭据。</w:t>
            </w:r>
          </w:p>
          <w:p w14:paraId="658B68CB"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lastRenderedPageBreak/>
              <w:t>第十四条</w:t>
            </w:r>
            <w:r w:rsidRPr="002C6B34">
              <w:rPr>
                <w:rFonts w:ascii="宋体" w:eastAsia="宋体" w:hAnsi="宋体" w:cs="宋体"/>
                <w:kern w:val="0"/>
                <w:sz w:val="24"/>
                <w:szCs w:val="24"/>
              </w:rPr>
              <w:t>  会议费支付应按照国库集中支付制度和公务卡管理制度的有关规定执行，原则上以银行转账或公务卡等非现金方式结算。</w:t>
            </w:r>
          </w:p>
          <w:p w14:paraId="30401634" w14:textId="77777777" w:rsidR="002C6B34" w:rsidRPr="002C6B34" w:rsidRDefault="002C6B34" w:rsidP="002C6B34">
            <w:pPr>
              <w:widowControl/>
              <w:jc w:val="center"/>
              <w:rPr>
                <w:rFonts w:ascii="宋体" w:eastAsia="宋体" w:hAnsi="宋体" w:cs="宋体"/>
                <w:kern w:val="0"/>
                <w:sz w:val="24"/>
                <w:szCs w:val="24"/>
              </w:rPr>
            </w:pPr>
            <w:r w:rsidRPr="002C6B34">
              <w:rPr>
                <w:rFonts w:ascii="宋体" w:eastAsia="宋体" w:hAnsi="宋体" w:cs="宋体"/>
                <w:b/>
                <w:bCs/>
                <w:kern w:val="0"/>
                <w:sz w:val="24"/>
                <w:szCs w:val="24"/>
              </w:rPr>
              <w:t>第四章　监督问责</w:t>
            </w:r>
          </w:p>
          <w:p w14:paraId="25A0964B"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第十五条  </w:t>
            </w:r>
            <w:r w:rsidRPr="002C6B34">
              <w:rPr>
                <w:rFonts w:ascii="宋体" w:eastAsia="宋体" w:hAnsi="宋体" w:cs="宋体"/>
                <w:kern w:val="0"/>
                <w:sz w:val="24"/>
                <w:szCs w:val="24"/>
              </w:rPr>
              <w:t>各单位应当加强对本单位会议活动和经费报销的内部控制管理，对会议费报销进行审核把关，确保会议活动内容真实，支付渠道规范及票据来源合法、完整。研究院内部监察审计部门应对会议费管理和使用情况进行日常监督检查。</w:t>
            </w:r>
          </w:p>
          <w:p w14:paraId="1CB28713"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第十六条 </w:t>
            </w:r>
            <w:r w:rsidRPr="002C6B34">
              <w:rPr>
                <w:rFonts w:ascii="宋体" w:eastAsia="宋体" w:hAnsi="宋体" w:cs="宋体"/>
                <w:kern w:val="0"/>
                <w:sz w:val="24"/>
                <w:szCs w:val="24"/>
              </w:rPr>
              <w:t> 研究院相关部门对单位会议费管理进行督导检查。</w:t>
            </w:r>
          </w:p>
          <w:p w14:paraId="07F4B6DA"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第十七条</w:t>
            </w:r>
            <w:r w:rsidRPr="002C6B34">
              <w:rPr>
                <w:rFonts w:ascii="宋体" w:eastAsia="宋体" w:hAnsi="宋体" w:cs="宋体"/>
                <w:kern w:val="0"/>
                <w:sz w:val="24"/>
                <w:szCs w:val="24"/>
              </w:rPr>
              <w:t>  严禁各单位借会议名义组织会餐或安排宴请；严禁套取会议</w:t>
            </w:r>
            <w:proofErr w:type="gramStart"/>
            <w:r w:rsidRPr="002C6B34">
              <w:rPr>
                <w:rFonts w:ascii="宋体" w:eastAsia="宋体" w:hAnsi="宋体" w:cs="宋体"/>
                <w:kern w:val="0"/>
                <w:sz w:val="24"/>
                <w:szCs w:val="24"/>
              </w:rPr>
              <w:t>费设立</w:t>
            </w:r>
            <w:proofErr w:type="gramEnd"/>
            <w:r w:rsidRPr="002C6B34">
              <w:rPr>
                <w:rFonts w:ascii="宋体" w:eastAsia="宋体" w:hAnsi="宋体" w:cs="宋体"/>
                <w:kern w:val="0"/>
                <w:sz w:val="24"/>
                <w:szCs w:val="24"/>
              </w:rPr>
              <w:t>“小金库”；严禁在会议费中列支公务接待费。严格执行会议用房标准，会议用餐不安排宴请，不上烟酒。不得组织会议代表旅游和与会议无关的参观；严禁组织高消费娱乐、健身活动；严禁以任何名义发放纪念品；严禁发放与会议业务内容无关的物品。</w:t>
            </w:r>
          </w:p>
          <w:p w14:paraId="52177F98"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第十八条</w:t>
            </w:r>
            <w:r w:rsidRPr="002C6B34">
              <w:rPr>
                <w:rFonts w:ascii="宋体" w:eastAsia="宋体" w:hAnsi="宋体" w:cs="宋体"/>
                <w:kern w:val="0"/>
                <w:sz w:val="24"/>
                <w:szCs w:val="24"/>
              </w:rPr>
              <w:t>  违反本办法规定，有下列行为之一的，依法依规追究会议举办部门和相关人员的责任：</w:t>
            </w:r>
          </w:p>
          <w:p w14:paraId="6A86BF1C"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（一）计划</w:t>
            </w:r>
            <w:proofErr w:type="gramStart"/>
            <w:r w:rsidRPr="002C6B34">
              <w:rPr>
                <w:rFonts w:ascii="宋体" w:eastAsia="宋体" w:hAnsi="宋体" w:cs="宋体"/>
                <w:kern w:val="0"/>
                <w:sz w:val="24"/>
                <w:szCs w:val="24"/>
              </w:rPr>
              <w:t>外召开</w:t>
            </w:r>
            <w:proofErr w:type="gramEnd"/>
            <w:r w:rsidRPr="002C6B34">
              <w:rPr>
                <w:rFonts w:ascii="宋体" w:eastAsia="宋体" w:hAnsi="宋体" w:cs="宋体"/>
                <w:kern w:val="0"/>
                <w:sz w:val="24"/>
                <w:szCs w:val="24"/>
              </w:rPr>
              <w:t>会议的；</w:t>
            </w:r>
          </w:p>
          <w:p w14:paraId="4E5E8DA8"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（二）虚报、冒领手段骗取会议费的；</w:t>
            </w:r>
          </w:p>
          <w:p w14:paraId="1C6D42DF"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（三）虚报会议人数、天数等进行报销的；</w:t>
            </w:r>
          </w:p>
          <w:p w14:paraId="26AB1A83"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（四）违规扩大会议费开支范围，擅自提高会议费开支标准的；</w:t>
            </w:r>
          </w:p>
          <w:p w14:paraId="0D24E198"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（五）违规报销与会议无关费用的；</w:t>
            </w:r>
          </w:p>
          <w:p w14:paraId="5AEF3B11"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（六）其他违反本办法行为的。</w:t>
            </w:r>
          </w:p>
          <w:p w14:paraId="26B9D385"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kern w:val="0"/>
                <w:sz w:val="24"/>
                <w:szCs w:val="24"/>
              </w:rPr>
              <w:t>有前款所</w:t>
            </w:r>
            <w:proofErr w:type="gramStart"/>
            <w:r w:rsidRPr="002C6B34">
              <w:rPr>
                <w:rFonts w:ascii="宋体" w:eastAsia="宋体" w:hAnsi="宋体" w:cs="宋体"/>
                <w:kern w:val="0"/>
                <w:sz w:val="24"/>
                <w:szCs w:val="24"/>
              </w:rPr>
              <w:t>列行</w:t>
            </w:r>
            <w:proofErr w:type="gramEnd"/>
            <w:r w:rsidRPr="002C6B34">
              <w:rPr>
                <w:rFonts w:ascii="宋体" w:eastAsia="宋体" w:hAnsi="宋体" w:cs="宋体"/>
                <w:kern w:val="0"/>
                <w:sz w:val="24"/>
                <w:szCs w:val="24"/>
              </w:rPr>
              <w:t>为之一的，由研究院有关部门责令改正，违规资金应予追回，并视情况予以通报。对直接责任人和相关负责人，应按相关规定给予行政处分；科研教学人员涉及虚报、冒领手段骗取会议费的，取消一定期间院级科研项目的申请资格。涉嫌违法的，移送司法机关处理。</w:t>
            </w:r>
          </w:p>
          <w:p w14:paraId="41F44EB6" w14:textId="77777777" w:rsidR="002C6B34" w:rsidRPr="002C6B34" w:rsidRDefault="002C6B34" w:rsidP="002C6B34">
            <w:pPr>
              <w:widowControl/>
              <w:jc w:val="center"/>
              <w:rPr>
                <w:rFonts w:ascii="宋体" w:eastAsia="宋体" w:hAnsi="宋体" w:cs="宋体"/>
                <w:kern w:val="0"/>
                <w:sz w:val="24"/>
                <w:szCs w:val="24"/>
              </w:rPr>
            </w:pPr>
            <w:r w:rsidRPr="002C6B34">
              <w:rPr>
                <w:rFonts w:ascii="宋体" w:eastAsia="宋体" w:hAnsi="宋体" w:cs="宋体"/>
                <w:b/>
                <w:bCs/>
                <w:kern w:val="0"/>
                <w:sz w:val="24"/>
                <w:szCs w:val="24"/>
              </w:rPr>
              <w:t>第五章   附则</w:t>
            </w:r>
          </w:p>
          <w:p w14:paraId="547C7B33"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第十九条</w:t>
            </w:r>
            <w:r w:rsidRPr="002C6B34">
              <w:rPr>
                <w:rFonts w:ascii="宋体" w:eastAsia="宋体" w:hAnsi="宋体" w:cs="宋体"/>
                <w:kern w:val="0"/>
                <w:sz w:val="24"/>
                <w:szCs w:val="24"/>
              </w:rPr>
              <w:t>  本办法由研究院财务资产处负责解释。</w:t>
            </w:r>
          </w:p>
          <w:p w14:paraId="468F409F" w14:textId="77777777" w:rsidR="002C6B34" w:rsidRPr="002C6B34" w:rsidRDefault="002C6B34" w:rsidP="002C6B34">
            <w:pPr>
              <w:widowControl/>
              <w:spacing w:before="100" w:beforeAutospacing="1" w:after="100" w:afterAutospacing="1"/>
              <w:jc w:val="left"/>
              <w:rPr>
                <w:rFonts w:ascii="宋体" w:eastAsia="宋体" w:hAnsi="宋体" w:cs="宋体"/>
                <w:kern w:val="0"/>
                <w:sz w:val="24"/>
                <w:szCs w:val="24"/>
              </w:rPr>
            </w:pPr>
            <w:r w:rsidRPr="002C6B34">
              <w:rPr>
                <w:rFonts w:ascii="宋体" w:eastAsia="宋体" w:hAnsi="宋体" w:cs="宋体"/>
                <w:b/>
                <w:bCs/>
                <w:kern w:val="0"/>
                <w:sz w:val="24"/>
                <w:szCs w:val="24"/>
              </w:rPr>
              <w:t xml:space="preserve">第二十条  </w:t>
            </w:r>
            <w:r w:rsidRPr="002C6B34">
              <w:rPr>
                <w:rFonts w:ascii="宋体" w:eastAsia="宋体" w:hAnsi="宋体" w:cs="宋体"/>
                <w:kern w:val="0"/>
                <w:sz w:val="24"/>
                <w:szCs w:val="24"/>
              </w:rPr>
              <w:t>自2016年11月1日起施行。《中国科学院合肥研究院会议费管理办法》（科合院</w:t>
            </w:r>
            <w:proofErr w:type="gramStart"/>
            <w:r w:rsidRPr="002C6B34">
              <w:rPr>
                <w:rFonts w:ascii="宋体" w:eastAsia="宋体" w:hAnsi="宋体" w:cs="宋体"/>
                <w:kern w:val="0"/>
                <w:sz w:val="24"/>
                <w:szCs w:val="24"/>
              </w:rPr>
              <w:t>发财资字〔2013〕</w:t>
            </w:r>
            <w:proofErr w:type="gramEnd"/>
            <w:r w:rsidRPr="002C6B34">
              <w:rPr>
                <w:rFonts w:ascii="宋体" w:eastAsia="宋体" w:hAnsi="宋体" w:cs="宋体"/>
                <w:kern w:val="0"/>
                <w:sz w:val="24"/>
                <w:szCs w:val="24"/>
              </w:rPr>
              <w:t>19 号）同时废止。</w:t>
            </w:r>
          </w:p>
        </w:tc>
      </w:tr>
    </w:tbl>
    <w:p w14:paraId="41DF0A55" w14:textId="77777777" w:rsidR="00BF3BE8" w:rsidRPr="002C6B34" w:rsidRDefault="00BF3BE8">
      <w:bookmarkStart w:id="0" w:name="_GoBack"/>
      <w:bookmarkEnd w:id="0"/>
    </w:p>
    <w:sectPr w:rsidR="00BF3BE8" w:rsidRPr="002C6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EA"/>
    <w:rsid w:val="000717DA"/>
    <w:rsid w:val="002C6B34"/>
    <w:rsid w:val="008C1B8D"/>
    <w:rsid w:val="009B19EA"/>
    <w:rsid w:val="00BF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41426-8A15-44B3-92BD-0FFE54C1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6B34"/>
    <w:rPr>
      <w:color w:val="0000FF"/>
      <w:u w:val="single"/>
    </w:rPr>
  </w:style>
  <w:style w:type="character" w:customStyle="1" w:styleId="font03">
    <w:name w:val="font03"/>
    <w:basedOn w:val="a0"/>
    <w:rsid w:val="002C6B34"/>
  </w:style>
  <w:style w:type="character" w:styleId="a4">
    <w:name w:val="Strong"/>
    <w:basedOn w:val="a0"/>
    <w:uiPriority w:val="22"/>
    <w:qFormat/>
    <w:rsid w:val="002C6B34"/>
    <w:rPr>
      <w:b/>
      <w:bCs/>
    </w:rPr>
  </w:style>
  <w:style w:type="paragraph" w:customStyle="1" w:styleId="-2">
    <w:name w:val="-2"/>
    <w:basedOn w:val="a"/>
    <w:rsid w:val="002C6B3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2C6B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9521">
      <w:bodyDiv w:val="1"/>
      <w:marLeft w:val="0"/>
      <w:marRight w:val="0"/>
      <w:marTop w:val="0"/>
      <w:marBottom w:val="0"/>
      <w:divBdr>
        <w:top w:val="none" w:sz="0" w:space="0" w:color="auto"/>
        <w:left w:val="none" w:sz="0" w:space="0" w:color="auto"/>
        <w:bottom w:val="none" w:sz="0" w:space="0" w:color="auto"/>
        <w:right w:val="none" w:sz="0" w:space="0" w:color="auto"/>
      </w:divBdr>
      <w:divsChild>
        <w:div w:id="433089162">
          <w:marLeft w:val="0"/>
          <w:marRight w:val="0"/>
          <w:marTop w:val="0"/>
          <w:marBottom w:val="0"/>
          <w:divBdr>
            <w:top w:val="none" w:sz="0" w:space="0" w:color="auto"/>
            <w:left w:val="none" w:sz="0" w:space="0" w:color="auto"/>
            <w:bottom w:val="none" w:sz="0" w:space="0" w:color="auto"/>
            <w:right w:val="none" w:sz="0" w:space="0" w:color="auto"/>
          </w:divBdr>
        </w:div>
        <w:div w:id="98227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close();" TargetMode="External"/><Relationship Id="rId5" Type="http://schemas.openxmlformats.org/officeDocument/2006/relationships/hyperlink" Target="javascript:window.print();" TargetMode="Externa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Zhang</dc:creator>
  <cp:keywords/>
  <dc:description/>
  <cp:lastModifiedBy>Study Zhang</cp:lastModifiedBy>
  <cp:revision>2</cp:revision>
  <dcterms:created xsi:type="dcterms:W3CDTF">2021-01-07T07:25:00Z</dcterms:created>
  <dcterms:modified xsi:type="dcterms:W3CDTF">2021-01-07T07:25:00Z</dcterms:modified>
</cp:coreProperties>
</file>